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8" w:rsidRDefault="00DE1BE6">
      <w:pPr>
        <w:spacing w:after="367"/>
        <w:ind w:right="719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144780</wp:posOffset>
            </wp:positionH>
            <wp:positionV relativeFrom="paragraph">
              <wp:posOffset>-400120</wp:posOffset>
            </wp:positionV>
            <wp:extent cx="1647825" cy="6000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0688" w:rsidRDefault="00DE1BE6">
      <w:pPr>
        <w:pStyle w:val="1"/>
        <w:ind w:left="115"/>
      </w:pPr>
      <w:proofErr w:type="spellStart"/>
      <w:r>
        <w:t>MasterGlenium</w:t>
      </w:r>
      <w:proofErr w:type="spellEnd"/>
      <w:r>
        <w:t xml:space="preserve"> 774S</w:t>
      </w:r>
      <w:r>
        <w:rPr>
          <w:color w:val="000000"/>
        </w:rPr>
        <w:t xml:space="preserve"> </w:t>
      </w:r>
    </w:p>
    <w:p w:rsidR="00980688" w:rsidRDefault="00DE1BE6">
      <w:pPr>
        <w:spacing w:after="192" w:line="252" w:lineRule="auto"/>
        <w:ind w:left="130" w:hanging="10"/>
      </w:pPr>
      <w:r>
        <w:rPr>
          <w:rFonts w:ascii="Arial" w:eastAsia="Arial" w:hAnsi="Arial" w:cs="Arial"/>
          <w:b/>
          <w:sz w:val="24"/>
        </w:rPr>
        <w:t xml:space="preserve">Понижающий воду </w:t>
      </w:r>
      <w:proofErr w:type="spellStart"/>
      <w:r>
        <w:rPr>
          <w:rFonts w:ascii="Arial" w:eastAsia="Arial" w:hAnsi="Arial" w:cs="Arial"/>
          <w:b/>
          <w:sz w:val="24"/>
        </w:rPr>
        <w:t>суперпластификатор</w:t>
      </w:r>
      <w:proofErr w:type="spellEnd"/>
      <w:r>
        <w:rPr>
          <w:rFonts w:ascii="Arial" w:eastAsia="Arial" w:hAnsi="Arial" w:cs="Arial"/>
          <w:b/>
          <w:sz w:val="24"/>
        </w:rPr>
        <w:t xml:space="preserve"> для </w:t>
      </w:r>
      <w:proofErr w:type="spellStart"/>
      <w:r>
        <w:rPr>
          <w:rFonts w:ascii="Arial" w:eastAsia="Arial" w:hAnsi="Arial" w:cs="Arial"/>
          <w:b/>
          <w:sz w:val="24"/>
        </w:rPr>
        <w:t>реопластичных</w:t>
      </w:r>
      <w:proofErr w:type="spellEnd"/>
      <w:r>
        <w:rPr>
          <w:rFonts w:ascii="Arial" w:eastAsia="Arial" w:hAnsi="Arial" w:cs="Arial"/>
          <w:b/>
          <w:sz w:val="24"/>
        </w:rPr>
        <w:t xml:space="preserve"> бетонных растворов, на основе </w:t>
      </w:r>
      <w:proofErr w:type="spellStart"/>
      <w:r>
        <w:rPr>
          <w:rFonts w:ascii="Arial" w:eastAsia="Arial" w:hAnsi="Arial" w:cs="Arial"/>
          <w:b/>
          <w:sz w:val="24"/>
        </w:rPr>
        <w:t>поликарбоксилатэфирной</w:t>
      </w:r>
      <w:proofErr w:type="spellEnd"/>
      <w:r>
        <w:rPr>
          <w:rFonts w:ascii="Arial" w:eastAsia="Arial" w:hAnsi="Arial" w:cs="Arial"/>
          <w:b/>
          <w:sz w:val="24"/>
        </w:rPr>
        <w:t xml:space="preserve"> смолы, обеспечивающий </w:t>
      </w:r>
    </w:p>
    <w:p w:rsidR="00980688" w:rsidRDefault="00980688">
      <w:pPr>
        <w:sectPr w:rsidR="00980688">
          <w:pgSz w:w="11899" w:h="16841"/>
          <w:pgMar w:top="727" w:right="986" w:bottom="1440" w:left="900" w:header="720" w:footer="720" w:gutter="0"/>
          <w:cols w:space="720"/>
        </w:sectPr>
      </w:pPr>
    </w:p>
    <w:p w:rsidR="00980688" w:rsidRDefault="00DE1BE6">
      <w:pPr>
        <w:spacing w:after="8" w:line="252" w:lineRule="auto"/>
        <w:ind w:left="130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высокий набор сил ранней прочности. </w:t>
      </w:r>
    </w:p>
    <w:p w:rsidR="00980688" w:rsidRDefault="00DE1BE6">
      <w:pPr>
        <w:spacing w:after="244"/>
      </w:pPr>
      <w:r>
        <w:rPr>
          <w:rFonts w:ascii="Arial" w:eastAsia="Arial" w:hAnsi="Arial" w:cs="Arial"/>
          <w:b/>
          <w:sz w:val="11"/>
        </w:rPr>
        <w:t xml:space="preserve"> </w:t>
      </w:r>
    </w:p>
    <w:p w:rsidR="00980688" w:rsidRDefault="00DE1BE6">
      <w:pPr>
        <w:pStyle w:val="2"/>
        <w:ind w:left="192"/>
      </w:pPr>
      <w:r>
        <w:t xml:space="preserve">Описание </w:t>
      </w:r>
    </w:p>
    <w:p w:rsidR="00980688" w:rsidRDefault="00DE1BE6">
      <w:pPr>
        <w:spacing w:after="5" w:line="268" w:lineRule="auto"/>
        <w:ind w:left="192" w:right="87" w:hanging="10"/>
        <w:jc w:val="both"/>
      </w:pPr>
      <w:proofErr w:type="spellStart"/>
      <w:r>
        <w:rPr>
          <w:rFonts w:ascii="Arial" w:eastAsia="Arial" w:hAnsi="Arial" w:cs="Arial"/>
          <w:sz w:val="20"/>
        </w:rPr>
        <w:t>MasterGlenium</w:t>
      </w:r>
      <w:proofErr w:type="spellEnd"/>
      <w:r>
        <w:rPr>
          <w:rFonts w:ascii="Arial" w:eastAsia="Arial" w:hAnsi="Arial" w:cs="Arial"/>
          <w:sz w:val="20"/>
        </w:rPr>
        <w:t xml:space="preserve"> 774S </w:t>
      </w:r>
      <w:r>
        <w:rPr>
          <w:rFonts w:ascii="Arial" w:eastAsia="Arial" w:hAnsi="Arial" w:cs="Arial"/>
          <w:sz w:val="20"/>
        </w:rPr>
        <w:t xml:space="preserve">представляет собой композит </w:t>
      </w:r>
      <w:proofErr w:type="spellStart"/>
      <w:r>
        <w:rPr>
          <w:rFonts w:ascii="Arial" w:eastAsia="Arial" w:hAnsi="Arial" w:cs="Arial"/>
          <w:sz w:val="20"/>
        </w:rPr>
        <w:t>поликарбоксилатов</w:t>
      </w:r>
      <w:proofErr w:type="spellEnd"/>
      <w:r>
        <w:rPr>
          <w:rFonts w:ascii="Arial" w:eastAsia="Arial" w:hAnsi="Arial" w:cs="Arial"/>
          <w:sz w:val="20"/>
        </w:rPr>
        <w:t xml:space="preserve"> эфира и реагентов, не содержащих хлора, ускоряющих схватывание и твердение бетона. </w:t>
      </w:r>
    </w:p>
    <w:p w:rsidR="00980688" w:rsidRDefault="00DE1BE6">
      <w:pPr>
        <w:spacing w:after="5" w:line="268" w:lineRule="auto"/>
        <w:ind w:left="192" w:right="87" w:hanging="10"/>
        <w:jc w:val="both"/>
      </w:pPr>
      <w:r>
        <w:rPr>
          <w:rFonts w:ascii="Arial" w:eastAsia="Arial" w:hAnsi="Arial" w:cs="Arial"/>
          <w:sz w:val="20"/>
        </w:rPr>
        <w:t xml:space="preserve">Применение добавки с высокими </w:t>
      </w:r>
      <w:proofErr w:type="spellStart"/>
      <w:r>
        <w:rPr>
          <w:rFonts w:ascii="Arial" w:eastAsia="Arial" w:hAnsi="Arial" w:cs="Arial"/>
          <w:sz w:val="20"/>
        </w:rPr>
        <w:t>реодинамическими</w:t>
      </w:r>
      <w:proofErr w:type="spellEnd"/>
      <w:r>
        <w:rPr>
          <w:rFonts w:ascii="Arial" w:eastAsia="Arial" w:hAnsi="Arial" w:cs="Arial"/>
          <w:sz w:val="20"/>
        </w:rPr>
        <w:t xml:space="preserve"> характеристиками позволяет создавать бетонные смеси с исключительно высокими ук</w:t>
      </w:r>
      <w:r>
        <w:rPr>
          <w:rFonts w:ascii="Arial" w:eastAsia="Arial" w:hAnsi="Arial" w:cs="Arial"/>
          <w:sz w:val="20"/>
        </w:rPr>
        <w:t xml:space="preserve">ладочными свойствами, ускоренным протеканием реакции гидратации цемента для набора сил ранней прочности и получения бетона стабильно высокого качества. </w:t>
      </w:r>
    </w:p>
    <w:p w:rsidR="00980688" w:rsidRDefault="00DE1BE6">
      <w:pPr>
        <w:spacing w:after="63"/>
      </w:pPr>
      <w:r>
        <w:rPr>
          <w:rFonts w:ascii="Arial" w:eastAsia="Arial" w:hAnsi="Arial" w:cs="Arial"/>
          <w:sz w:val="20"/>
        </w:rPr>
        <w:t xml:space="preserve"> </w:t>
      </w:r>
    </w:p>
    <w:p w:rsidR="00980688" w:rsidRDefault="00DE1BE6">
      <w:pPr>
        <w:pStyle w:val="2"/>
        <w:spacing w:after="8"/>
        <w:ind w:left="192"/>
      </w:pPr>
      <w:r>
        <w:t xml:space="preserve">Область применения </w:t>
      </w:r>
    </w:p>
    <w:p w:rsidR="00980688" w:rsidRDefault="00DE1BE6">
      <w:pPr>
        <w:spacing w:after="0"/>
        <w:ind w:left="18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0688" w:rsidRDefault="00DE1BE6">
      <w:pPr>
        <w:numPr>
          <w:ilvl w:val="0"/>
          <w:numId w:val="1"/>
        </w:numPr>
        <w:spacing w:after="5" w:line="268" w:lineRule="auto"/>
        <w:ind w:right="87" w:hanging="360"/>
        <w:jc w:val="both"/>
      </w:pPr>
      <w:r>
        <w:rPr>
          <w:rFonts w:ascii="Arial" w:eastAsia="Arial" w:hAnsi="Arial" w:cs="Arial"/>
          <w:sz w:val="20"/>
        </w:rPr>
        <w:t xml:space="preserve">Готовый товарный бетон и места массивной заливки; </w:t>
      </w:r>
    </w:p>
    <w:p w:rsidR="00980688" w:rsidRDefault="00DE1BE6">
      <w:pPr>
        <w:numPr>
          <w:ilvl w:val="0"/>
          <w:numId w:val="1"/>
        </w:numPr>
        <w:spacing w:after="5" w:line="268" w:lineRule="auto"/>
        <w:ind w:right="87" w:hanging="360"/>
        <w:jc w:val="both"/>
      </w:pPr>
      <w:r>
        <w:rPr>
          <w:rFonts w:ascii="Arial" w:eastAsia="Arial" w:hAnsi="Arial" w:cs="Arial"/>
          <w:sz w:val="20"/>
        </w:rPr>
        <w:t>Места заливки бетона с интен</w:t>
      </w:r>
      <w:r>
        <w:rPr>
          <w:rFonts w:ascii="Arial" w:eastAsia="Arial" w:hAnsi="Arial" w:cs="Arial"/>
          <w:sz w:val="20"/>
        </w:rPr>
        <w:t xml:space="preserve">сивной арматурой и закачкой бетона насосами; </w:t>
      </w:r>
    </w:p>
    <w:p w:rsidR="00980688" w:rsidRDefault="00DE1BE6">
      <w:pPr>
        <w:numPr>
          <w:ilvl w:val="0"/>
          <w:numId w:val="1"/>
        </w:numPr>
        <w:spacing w:after="5" w:line="268" w:lineRule="auto"/>
        <w:ind w:right="87" w:hanging="360"/>
        <w:jc w:val="both"/>
      </w:pPr>
      <w:r>
        <w:rPr>
          <w:rFonts w:ascii="Arial" w:eastAsia="Arial" w:hAnsi="Arial" w:cs="Arial"/>
          <w:sz w:val="20"/>
        </w:rPr>
        <w:t xml:space="preserve">При транспортировке бетона на длительные расстояния;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Отсутствие риска сегрегации и растекания;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Заливка бетона в условиях холодного климата; </w:t>
      </w:r>
    </w:p>
    <w:p w:rsidR="00980688" w:rsidRDefault="00DE1BE6">
      <w:pPr>
        <w:numPr>
          <w:ilvl w:val="0"/>
          <w:numId w:val="1"/>
        </w:numPr>
        <w:spacing w:after="5" w:line="268" w:lineRule="auto"/>
        <w:ind w:right="87" w:hanging="360"/>
        <w:jc w:val="both"/>
      </w:pPr>
      <w:r>
        <w:rPr>
          <w:rFonts w:ascii="Arial" w:eastAsia="Arial" w:hAnsi="Arial" w:cs="Arial"/>
          <w:sz w:val="20"/>
        </w:rPr>
        <w:t xml:space="preserve">При изготовлении железобетонных конструкций и напряженных бетонных конструкций, где наибольшее значение имеют: раннее твердение и быстрый набор сил ранней прочности. </w:t>
      </w:r>
    </w:p>
    <w:p w:rsidR="00980688" w:rsidRDefault="00DE1BE6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980688" w:rsidRDefault="00DE1BE6">
      <w:pPr>
        <w:pStyle w:val="2"/>
        <w:spacing w:after="8"/>
        <w:ind w:left="192"/>
      </w:pPr>
      <w:r>
        <w:t xml:space="preserve">Технические характеристики </w:t>
      </w:r>
    </w:p>
    <w:p w:rsidR="00980688" w:rsidRDefault="00DE1BE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4554" w:type="dxa"/>
        <w:tblInd w:w="290" w:type="dxa"/>
        <w:tblCellMar>
          <w:top w:w="16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60"/>
        <w:gridCol w:w="1694"/>
      </w:tblGrid>
      <w:tr w:rsidR="00980688">
        <w:trPr>
          <w:trHeight w:val="46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88" w:rsidRDefault="00DE1BE6">
            <w:pPr>
              <w:spacing w:after="6"/>
            </w:pPr>
            <w:r>
              <w:rPr>
                <w:rFonts w:ascii="Arial" w:eastAsia="Arial" w:hAnsi="Arial" w:cs="Arial"/>
                <w:b/>
                <w:sz w:val="19"/>
              </w:rPr>
              <w:lastRenderedPageBreak/>
              <w:t xml:space="preserve"> </w:t>
            </w:r>
          </w:p>
          <w:p w:rsidR="00980688" w:rsidRDefault="00DE1BE6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Цвет: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88" w:rsidRDefault="00DE1BE6">
            <w:pPr>
              <w:spacing w:after="8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980688" w:rsidRDefault="00DE1BE6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Прозрачный </w:t>
            </w:r>
          </w:p>
        </w:tc>
      </w:tr>
      <w:tr w:rsidR="00980688">
        <w:trPr>
          <w:trHeight w:val="46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88" w:rsidRDefault="00DE1BE6">
            <w:pPr>
              <w:spacing w:after="7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980688" w:rsidRDefault="00DE1BE6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Консистенция: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88" w:rsidRDefault="00DE1BE6">
            <w:pPr>
              <w:spacing w:after="6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980688" w:rsidRDefault="00DE1BE6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Жидкая </w:t>
            </w:r>
          </w:p>
        </w:tc>
      </w:tr>
      <w:tr w:rsidR="00980688">
        <w:trPr>
          <w:trHeight w:val="46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88" w:rsidRDefault="00DE1BE6">
            <w:pPr>
              <w:spacing w:after="8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980688" w:rsidRDefault="00DE1BE6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Содержание ионов хлора: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88" w:rsidRDefault="00DE1BE6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980688" w:rsidRDefault="00DE1BE6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&lt; 0,01% </w:t>
            </w:r>
          </w:p>
        </w:tc>
      </w:tr>
    </w:tbl>
    <w:p w:rsidR="00980688" w:rsidRDefault="00DE1BE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80688" w:rsidRDefault="00DE1BE6">
      <w:pPr>
        <w:spacing w:after="206"/>
        <w:ind w:left="183"/>
      </w:pPr>
      <w:r>
        <w:rPr>
          <w:rFonts w:ascii="Arial" w:eastAsia="Arial" w:hAnsi="Arial" w:cs="Arial"/>
          <w:b/>
        </w:rPr>
        <w:t xml:space="preserve">Расход </w:t>
      </w:r>
    </w:p>
    <w:p w:rsidR="00980688" w:rsidRDefault="00DE1BE6">
      <w:pPr>
        <w:spacing w:after="5" w:line="268" w:lineRule="auto"/>
        <w:ind w:left="193" w:hanging="10"/>
        <w:jc w:val="both"/>
      </w:pPr>
      <w:r>
        <w:rPr>
          <w:rFonts w:ascii="Arial" w:eastAsia="Arial" w:hAnsi="Arial" w:cs="Arial"/>
          <w:sz w:val="20"/>
        </w:rPr>
        <w:t xml:space="preserve">Рекомендуемый расход добавки </w:t>
      </w:r>
      <w:proofErr w:type="spellStart"/>
      <w:r>
        <w:rPr>
          <w:rFonts w:ascii="Arial" w:eastAsia="Arial" w:hAnsi="Arial" w:cs="Arial"/>
          <w:sz w:val="20"/>
        </w:rPr>
        <w:t>MasterGlenium</w:t>
      </w:r>
      <w:proofErr w:type="spellEnd"/>
      <w:r>
        <w:rPr>
          <w:rFonts w:ascii="Arial" w:eastAsia="Arial" w:hAnsi="Arial" w:cs="Arial"/>
          <w:sz w:val="20"/>
        </w:rPr>
        <w:t xml:space="preserve"> 774S составляет 0,8 – 1,5 % от веса цемента. </w:t>
      </w:r>
    </w:p>
    <w:p w:rsidR="00980688" w:rsidRDefault="00DE1BE6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980688" w:rsidRDefault="00DE1BE6">
      <w:pPr>
        <w:spacing w:after="5" w:line="268" w:lineRule="auto"/>
        <w:ind w:left="193" w:right="644" w:hanging="10"/>
        <w:jc w:val="both"/>
      </w:pPr>
      <w:r>
        <w:rPr>
          <w:rFonts w:ascii="Arial" w:eastAsia="Arial" w:hAnsi="Arial" w:cs="Arial"/>
          <w:sz w:val="20"/>
        </w:rPr>
        <w:t xml:space="preserve">Рекомендованные выше дозировки могут быть изменены в зависимости </w:t>
      </w:r>
      <w:proofErr w:type="gramStart"/>
      <w:r>
        <w:rPr>
          <w:rFonts w:ascii="Arial" w:eastAsia="Arial" w:hAnsi="Arial" w:cs="Arial"/>
          <w:sz w:val="20"/>
        </w:rPr>
        <w:t>от конкретных условии</w:t>
      </w:r>
      <w:proofErr w:type="gramEnd"/>
      <w:r>
        <w:rPr>
          <w:rFonts w:ascii="Arial" w:eastAsia="Arial" w:hAnsi="Arial" w:cs="Arial"/>
          <w:sz w:val="20"/>
        </w:rPr>
        <w:t xml:space="preserve"> на стройплощадке. </w:t>
      </w:r>
    </w:p>
    <w:p w:rsidR="00980688" w:rsidRDefault="00DE1BE6">
      <w:pPr>
        <w:spacing w:after="62"/>
      </w:pPr>
      <w:r>
        <w:rPr>
          <w:rFonts w:ascii="Arial" w:eastAsia="Arial" w:hAnsi="Arial" w:cs="Arial"/>
          <w:sz w:val="20"/>
        </w:rPr>
        <w:t xml:space="preserve"> </w:t>
      </w:r>
    </w:p>
    <w:p w:rsidR="00980688" w:rsidRDefault="00DE1BE6">
      <w:pPr>
        <w:pStyle w:val="2"/>
        <w:spacing w:after="8"/>
        <w:ind w:left="192"/>
      </w:pPr>
      <w:r>
        <w:t xml:space="preserve">Преимущества </w:t>
      </w:r>
    </w:p>
    <w:p w:rsidR="00980688" w:rsidRDefault="00DE1BE6">
      <w:pPr>
        <w:spacing w:after="0"/>
        <w:ind w:left="18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0688" w:rsidRDefault="00DE1BE6">
      <w:pPr>
        <w:numPr>
          <w:ilvl w:val="0"/>
          <w:numId w:val="2"/>
        </w:numPr>
        <w:spacing w:after="5" w:line="268" w:lineRule="auto"/>
        <w:ind w:right="87" w:hanging="360"/>
        <w:jc w:val="both"/>
      </w:pPr>
      <w:r>
        <w:rPr>
          <w:rFonts w:ascii="Arial" w:eastAsia="Arial" w:hAnsi="Arial" w:cs="Arial"/>
          <w:sz w:val="20"/>
        </w:rPr>
        <w:t xml:space="preserve">Снижает потребность пропарки при изготовлении готовых бетонных конструкций; </w:t>
      </w:r>
    </w:p>
    <w:p w:rsidR="00980688" w:rsidRDefault="00DE1BE6">
      <w:pPr>
        <w:numPr>
          <w:ilvl w:val="0"/>
          <w:numId w:val="2"/>
        </w:numPr>
        <w:spacing w:after="5" w:line="268" w:lineRule="auto"/>
        <w:ind w:right="87" w:hanging="360"/>
        <w:jc w:val="both"/>
      </w:pPr>
      <w:r>
        <w:rPr>
          <w:rFonts w:ascii="Arial" w:eastAsia="Arial" w:hAnsi="Arial" w:cs="Arial"/>
          <w:sz w:val="20"/>
        </w:rPr>
        <w:t xml:space="preserve">Сильно понижает содержание воды в смеси; </w:t>
      </w:r>
    </w:p>
    <w:p w:rsidR="00980688" w:rsidRDefault="00DE1BE6">
      <w:pPr>
        <w:numPr>
          <w:ilvl w:val="0"/>
          <w:numId w:val="2"/>
        </w:numPr>
        <w:spacing w:after="5" w:line="268" w:lineRule="auto"/>
        <w:ind w:right="87" w:hanging="360"/>
        <w:jc w:val="both"/>
      </w:pPr>
      <w:r>
        <w:rPr>
          <w:rFonts w:ascii="Arial" w:eastAsia="Arial" w:hAnsi="Arial" w:cs="Arial"/>
          <w:sz w:val="20"/>
        </w:rPr>
        <w:t xml:space="preserve">Увеличивает рабочие характеристики; </w:t>
      </w:r>
    </w:p>
    <w:p w:rsidR="00980688" w:rsidRDefault="00DE1BE6">
      <w:pPr>
        <w:numPr>
          <w:ilvl w:val="0"/>
          <w:numId w:val="2"/>
        </w:numPr>
        <w:spacing w:after="5" w:line="268" w:lineRule="auto"/>
        <w:ind w:right="87" w:hanging="360"/>
        <w:jc w:val="both"/>
      </w:pPr>
      <w:r>
        <w:rPr>
          <w:rFonts w:ascii="Arial" w:eastAsia="Arial" w:hAnsi="Arial" w:cs="Arial"/>
          <w:sz w:val="20"/>
        </w:rPr>
        <w:t xml:space="preserve">Способствует высокому набору сил конечной прочности; </w:t>
      </w:r>
    </w:p>
    <w:p w:rsidR="00980688" w:rsidRDefault="00DE1BE6">
      <w:pPr>
        <w:numPr>
          <w:ilvl w:val="0"/>
          <w:numId w:val="2"/>
        </w:numPr>
        <w:spacing w:after="5" w:line="268" w:lineRule="auto"/>
        <w:ind w:right="87" w:hanging="360"/>
        <w:jc w:val="both"/>
      </w:pPr>
      <w:r>
        <w:rPr>
          <w:rFonts w:ascii="Arial" w:eastAsia="Arial" w:hAnsi="Arial" w:cs="Arial"/>
          <w:sz w:val="20"/>
        </w:rPr>
        <w:t xml:space="preserve">Легко закачивается; </w:t>
      </w:r>
    </w:p>
    <w:p w:rsidR="00980688" w:rsidRDefault="00DE1BE6">
      <w:pPr>
        <w:numPr>
          <w:ilvl w:val="0"/>
          <w:numId w:val="2"/>
        </w:numPr>
        <w:spacing w:after="5" w:line="268" w:lineRule="auto"/>
        <w:ind w:right="87" w:hanging="360"/>
        <w:jc w:val="both"/>
      </w:pPr>
      <w:r>
        <w:rPr>
          <w:rFonts w:ascii="Arial" w:eastAsia="Arial" w:hAnsi="Arial" w:cs="Arial"/>
          <w:sz w:val="20"/>
        </w:rPr>
        <w:t>Создает б</w:t>
      </w:r>
      <w:r>
        <w:rPr>
          <w:rFonts w:ascii="Arial" w:eastAsia="Arial" w:hAnsi="Arial" w:cs="Arial"/>
          <w:sz w:val="20"/>
        </w:rPr>
        <w:t xml:space="preserve">олее прочную, водонепроницаемую структуру бетона;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Увеличивает срок службы бетонных конструкций; </w:t>
      </w:r>
    </w:p>
    <w:p w:rsidR="00980688" w:rsidRDefault="00DE1BE6">
      <w:pPr>
        <w:numPr>
          <w:ilvl w:val="0"/>
          <w:numId w:val="2"/>
        </w:numPr>
        <w:spacing w:after="5" w:line="268" w:lineRule="auto"/>
        <w:ind w:right="87" w:hanging="360"/>
        <w:jc w:val="both"/>
      </w:pPr>
      <w:r>
        <w:rPr>
          <w:rFonts w:ascii="Arial" w:eastAsia="Arial" w:hAnsi="Arial" w:cs="Arial"/>
          <w:sz w:val="20"/>
        </w:rPr>
        <w:t xml:space="preserve">Способствует более легкому снятию форм заливочной опалубки. </w:t>
      </w:r>
    </w:p>
    <w:p w:rsidR="00980688" w:rsidRDefault="00DE1BE6">
      <w:pPr>
        <w:spacing w:after="62"/>
      </w:pPr>
      <w:r>
        <w:rPr>
          <w:rFonts w:ascii="Arial" w:eastAsia="Arial" w:hAnsi="Arial" w:cs="Arial"/>
          <w:sz w:val="20"/>
        </w:rPr>
        <w:t xml:space="preserve"> </w:t>
      </w:r>
    </w:p>
    <w:p w:rsidR="00980688" w:rsidRDefault="00DE1BE6">
      <w:pPr>
        <w:pStyle w:val="2"/>
        <w:ind w:left="192"/>
      </w:pPr>
      <w:r>
        <w:t xml:space="preserve">Применение </w:t>
      </w:r>
    </w:p>
    <w:p w:rsidR="00980688" w:rsidRDefault="00DE1BE6">
      <w:pPr>
        <w:spacing w:after="5" w:line="268" w:lineRule="auto"/>
        <w:ind w:left="193" w:right="87" w:hanging="10"/>
        <w:jc w:val="both"/>
      </w:pPr>
      <w:r>
        <w:rPr>
          <w:rFonts w:ascii="Arial" w:eastAsia="Arial" w:hAnsi="Arial" w:cs="Arial"/>
          <w:sz w:val="20"/>
        </w:rPr>
        <w:t xml:space="preserve">Добавка </w:t>
      </w:r>
      <w:proofErr w:type="spellStart"/>
      <w:r>
        <w:rPr>
          <w:rFonts w:ascii="Arial" w:eastAsia="Arial" w:hAnsi="Arial" w:cs="Arial"/>
          <w:sz w:val="20"/>
        </w:rPr>
        <w:t>MasterGlenium</w:t>
      </w:r>
      <w:proofErr w:type="spellEnd"/>
      <w:r>
        <w:rPr>
          <w:rFonts w:ascii="Arial" w:eastAsia="Arial" w:hAnsi="Arial" w:cs="Arial"/>
          <w:sz w:val="20"/>
        </w:rPr>
        <w:t xml:space="preserve"> 774S представляет </w:t>
      </w:r>
    </w:p>
    <w:p w:rsidR="00980688" w:rsidRDefault="00DE1BE6">
      <w:pPr>
        <w:spacing w:after="5" w:line="268" w:lineRule="auto"/>
        <w:ind w:left="193" w:right="87" w:hanging="10"/>
        <w:jc w:val="both"/>
      </w:pPr>
      <w:r>
        <w:rPr>
          <w:rFonts w:ascii="Arial" w:eastAsia="Arial" w:hAnsi="Arial" w:cs="Arial"/>
          <w:sz w:val="20"/>
        </w:rPr>
        <w:t xml:space="preserve">собой готовую к применению жидкую добавку, </w:t>
      </w:r>
    </w:p>
    <w:p w:rsidR="00980688" w:rsidRDefault="00DE1BE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80688" w:rsidRDefault="00980688">
      <w:pPr>
        <w:sectPr w:rsidR="00980688">
          <w:type w:val="continuous"/>
          <w:pgSz w:w="11899" w:h="16841"/>
          <w:pgMar w:top="1440" w:right="654" w:bottom="1440" w:left="900" w:header="720" w:footer="720" w:gutter="0"/>
          <w:cols w:num="2" w:space="720" w:equalWidth="0">
            <w:col w:w="4751" w:space="527"/>
            <w:col w:w="5066"/>
          </w:cols>
        </w:sectPr>
      </w:pPr>
    </w:p>
    <w:p w:rsidR="00980688" w:rsidRDefault="00DE1BE6">
      <w:pPr>
        <w:spacing w:after="201"/>
      </w:pPr>
      <w:r>
        <w:rPr>
          <w:rFonts w:ascii="Arial" w:eastAsia="Arial" w:hAnsi="Arial" w:cs="Arial"/>
        </w:rPr>
        <w:lastRenderedPageBreak/>
        <w:t xml:space="preserve"> </w:t>
      </w:r>
    </w:p>
    <w:p w:rsidR="00980688" w:rsidRDefault="00DE1BE6">
      <w:pPr>
        <w:spacing w:after="396"/>
      </w:pPr>
      <w:r>
        <w:rPr>
          <w:rFonts w:ascii="Arial" w:eastAsia="Arial" w:hAnsi="Arial" w:cs="Arial"/>
          <w:sz w:val="21"/>
        </w:rPr>
        <w:t xml:space="preserve"> </w:t>
      </w:r>
    </w:p>
    <w:p w:rsidR="00980688" w:rsidRDefault="00DE1BE6">
      <w:pPr>
        <w:pStyle w:val="1"/>
        <w:spacing w:after="117"/>
        <w:ind w:left="414"/>
      </w:pPr>
      <w:proofErr w:type="spellStart"/>
      <w:r>
        <w:lastRenderedPageBreak/>
        <w:t>MasterGlenium</w:t>
      </w:r>
      <w:proofErr w:type="spellEnd"/>
      <w:r>
        <w:t xml:space="preserve"> 774S </w:t>
      </w:r>
    </w:p>
    <w:p w:rsidR="00980688" w:rsidRDefault="00DE1BE6">
      <w:pPr>
        <w:spacing w:after="0"/>
        <w:ind w:left="404"/>
      </w:pPr>
      <w:r>
        <w:rPr>
          <w:rFonts w:ascii="Arial" w:eastAsia="Arial" w:hAnsi="Arial" w:cs="Arial"/>
          <w:sz w:val="48"/>
        </w:rPr>
        <w:t xml:space="preserve"> </w:t>
      </w:r>
    </w:p>
    <w:p w:rsidR="00980688" w:rsidRDefault="00DE1BE6">
      <w:pPr>
        <w:spacing w:after="0"/>
        <w:ind w:left="404"/>
      </w:pPr>
      <w:r>
        <w:rPr>
          <w:rFonts w:ascii="Arial" w:eastAsia="Arial" w:hAnsi="Arial" w:cs="Arial"/>
          <w:sz w:val="20"/>
        </w:rPr>
        <w:t xml:space="preserve"> </w:t>
      </w:r>
    </w:p>
    <w:p w:rsidR="00980688" w:rsidRDefault="00DE1BE6">
      <w:pPr>
        <w:spacing w:after="5" w:line="268" w:lineRule="auto"/>
        <w:ind w:left="414" w:right="5093" w:hanging="10"/>
        <w:jc w:val="both"/>
      </w:pPr>
      <w:r>
        <w:rPr>
          <w:rFonts w:ascii="Arial" w:eastAsia="Arial" w:hAnsi="Arial" w:cs="Arial"/>
          <w:sz w:val="20"/>
        </w:rPr>
        <w:t xml:space="preserve">которая добавляется в бетон вместе с водой для </w:t>
      </w:r>
      <w:proofErr w:type="spellStart"/>
      <w:r>
        <w:rPr>
          <w:rFonts w:ascii="Arial" w:eastAsia="Arial" w:hAnsi="Arial" w:cs="Arial"/>
          <w:sz w:val="20"/>
        </w:rPr>
        <w:t>затворения</w:t>
      </w:r>
      <w:proofErr w:type="spellEnd"/>
      <w:r>
        <w:rPr>
          <w:rFonts w:ascii="Arial" w:eastAsia="Arial" w:hAnsi="Arial" w:cs="Arial"/>
          <w:sz w:val="20"/>
        </w:rPr>
        <w:t xml:space="preserve"> смеси. </w:t>
      </w:r>
    </w:p>
    <w:p w:rsidR="00980688" w:rsidRDefault="00DE1BE6">
      <w:pPr>
        <w:spacing w:after="4"/>
        <w:ind w:left="399" w:right="5211" w:hanging="10"/>
      </w:pPr>
      <w:r>
        <w:rPr>
          <w:rFonts w:ascii="Arial" w:eastAsia="Arial" w:hAnsi="Arial" w:cs="Arial"/>
          <w:sz w:val="20"/>
        </w:rPr>
        <w:t xml:space="preserve">Пластифицирующий </w:t>
      </w:r>
      <w:r>
        <w:rPr>
          <w:rFonts w:ascii="Arial" w:eastAsia="Arial" w:hAnsi="Arial" w:cs="Arial"/>
          <w:sz w:val="20"/>
        </w:rPr>
        <w:tab/>
        <w:t xml:space="preserve">эффект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или водопонижение </w:t>
      </w:r>
      <w:r>
        <w:rPr>
          <w:rFonts w:ascii="Arial" w:eastAsia="Arial" w:hAnsi="Arial" w:cs="Arial"/>
          <w:sz w:val="20"/>
        </w:rPr>
        <w:tab/>
        <w:t xml:space="preserve">будет </w:t>
      </w:r>
      <w:r>
        <w:rPr>
          <w:rFonts w:ascii="Arial" w:eastAsia="Arial" w:hAnsi="Arial" w:cs="Arial"/>
          <w:sz w:val="20"/>
        </w:rPr>
        <w:tab/>
        <w:t xml:space="preserve">сильнее, </w:t>
      </w:r>
      <w:r>
        <w:rPr>
          <w:rFonts w:ascii="Arial" w:eastAsia="Arial" w:hAnsi="Arial" w:cs="Arial"/>
          <w:sz w:val="20"/>
        </w:rPr>
        <w:tab/>
        <w:t xml:space="preserve">если материал </w:t>
      </w:r>
      <w:r>
        <w:rPr>
          <w:rFonts w:ascii="Arial" w:eastAsia="Arial" w:hAnsi="Arial" w:cs="Arial"/>
          <w:sz w:val="20"/>
        </w:rPr>
        <w:tab/>
        <w:t xml:space="preserve">добавляется </w:t>
      </w:r>
      <w:r>
        <w:rPr>
          <w:rFonts w:ascii="Arial" w:eastAsia="Arial" w:hAnsi="Arial" w:cs="Arial"/>
          <w:sz w:val="20"/>
        </w:rPr>
        <w:tab/>
        <w:t xml:space="preserve">в </w:t>
      </w:r>
      <w:r>
        <w:rPr>
          <w:rFonts w:ascii="Arial" w:eastAsia="Arial" w:hAnsi="Arial" w:cs="Arial"/>
          <w:sz w:val="20"/>
        </w:rPr>
        <w:tab/>
        <w:t xml:space="preserve">бетон </w:t>
      </w:r>
      <w:r>
        <w:rPr>
          <w:rFonts w:ascii="Arial" w:eastAsia="Arial" w:hAnsi="Arial" w:cs="Arial"/>
          <w:sz w:val="20"/>
        </w:rPr>
        <w:tab/>
        <w:t xml:space="preserve">после добавления в бетонный миксер 50-70% воды для смешивания. </w:t>
      </w:r>
    </w:p>
    <w:p w:rsidR="00980688" w:rsidRDefault="00DE1BE6">
      <w:pPr>
        <w:spacing w:after="62"/>
      </w:pPr>
      <w:r>
        <w:rPr>
          <w:rFonts w:ascii="Arial" w:eastAsia="Arial" w:hAnsi="Arial" w:cs="Arial"/>
          <w:sz w:val="20"/>
        </w:rPr>
        <w:t xml:space="preserve"> </w:t>
      </w:r>
    </w:p>
    <w:p w:rsidR="00980688" w:rsidRDefault="00DE1BE6">
      <w:pPr>
        <w:pStyle w:val="2"/>
        <w:ind w:left="414"/>
      </w:pPr>
      <w:r>
        <w:t xml:space="preserve">Совместимость </w:t>
      </w:r>
    </w:p>
    <w:p w:rsidR="00980688" w:rsidRDefault="00DE1BE6">
      <w:pPr>
        <w:spacing w:after="4"/>
        <w:ind w:left="399" w:right="5211" w:hanging="10"/>
      </w:pPr>
      <w:r>
        <w:rPr>
          <w:rFonts w:ascii="Arial" w:eastAsia="Arial" w:hAnsi="Arial" w:cs="Arial"/>
          <w:sz w:val="20"/>
        </w:rPr>
        <w:t xml:space="preserve">Добавка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MasterGlenium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774S </w:t>
      </w:r>
      <w:r>
        <w:rPr>
          <w:rFonts w:ascii="Arial" w:eastAsia="Arial" w:hAnsi="Arial" w:cs="Arial"/>
          <w:sz w:val="20"/>
        </w:rPr>
        <w:tab/>
        <w:t>является полностью совместимой со всеми типами цемента и воздухововлека</w:t>
      </w:r>
      <w:r>
        <w:rPr>
          <w:rFonts w:ascii="Arial" w:eastAsia="Arial" w:hAnsi="Arial" w:cs="Arial"/>
          <w:sz w:val="20"/>
        </w:rPr>
        <w:t xml:space="preserve">ющими реагентами на </w:t>
      </w:r>
      <w:r>
        <w:rPr>
          <w:rFonts w:ascii="Arial" w:eastAsia="Arial" w:hAnsi="Arial" w:cs="Arial"/>
          <w:sz w:val="20"/>
        </w:rPr>
        <w:tab/>
        <w:t xml:space="preserve">основе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винзоловой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смолы, соответствующими требованиям стандартов: ASTM и UNI. </w:t>
      </w:r>
    </w:p>
    <w:p w:rsidR="00980688" w:rsidRDefault="00DE1BE6">
      <w:pPr>
        <w:spacing w:after="71"/>
      </w:pPr>
      <w:r>
        <w:rPr>
          <w:rFonts w:ascii="Arial" w:eastAsia="Arial" w:hAnsi="Arial" w:cs="Arial"/>
          <w:sz w:val="19"/>
        </w:rPr>
        <w:t xml:space="preserve"> </w:t>
      </w:r>
    </w:p>
    <w:p w:rsidR="00980688" w:rsidRDefault="00DE1BE6">
      <w:pPr>
        <w:pStyle w:val="2"/>
        <w:ind w:left="414"/>
      </w:pPr>
      <w:r>
        <w:t xml:space="preserve">Упаковка </w:t>
      </w:r>
    </w:p>
    <w:p w:rsidR="00980688" w:rsidRDefault="00DE1BE6">
      <w:pPr>
        <w:spacing w:after="5" w:line="268" w:lineRule="auto"/>
        <w:ind w:left="414" w:right="4584" w:hanging="10"/>
        <w:jc w:val="both"/>
      </w:pPr>
      <w:proofErr w:type="spellStart"/>
      <w:r>
        <w:rPr>
          <w:rFonts w:ascii="Arial" w:eastAsia="Arial" w:hAnsi="Arial" w:cs="Arial"/>
          <w:sz w:val="20"/>
        </w:rPr>
        <w:t>MasterGlenium</w:t>
      </w:r>
      <w:proofErr w:type="spellEnd"/>
      <w:r>
        <w:rPr>
          <w:rFonts w:ascii="Arial" w:eastAsia="Arial" w:hAnsi="Arial" w:cs="Arial"/>
          <w:sz w:val="20"/>
        </w:rPr>
        <w:t xml:space="preserve"> 774S поставляется в кубовых емкостях (1000 кг), и на    разлив. </w:t>
      </w:r>
    </w:p>
    <w:p w:rsidR="00980688" w:rsidRDefault="00DE1BE6">
      <w:pPr>
        <w:spacing w:after="62"/>
      </w:pPr>
      <w:r>
        <w:rPr>
          <w:rFonts w:ascii="Arial" w:eastAsia="Arial" w:hAnsi="Arial" w:cs="Arial"/>
          <w:sz w:val="20"/>
        </w:rPr>
        <w:t xml:space="preserve"> </w:t>
      </w:r>
    </w:p>
    <w:p w:rsidR="00980688" w:rsidRDefault="00DE1BE6">
      <w:pPr>
        <w:pStyle w:val="2"/>
        <w:ind w:left="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ge">
                  <wp:posOffset>302260</wp:posOffset>
                </wp:positionV>
                <wp:extent cx="1647825" cy="600075"/>
                <wp:effectExtent l="0" t="0" r="0" b="0"/>
                <wp:wrapTopAndBottom/>
                <wp:docPr id="3034" name="Group 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600075"/>
                          <a:chOff x="0" y="0"/>
                          <a:chExt cx="1647825" cy="600075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Rectangle 267"/>
                        <wps:cNvSpPr/>
                        <wps:spPr>
                          <a:xfrm>
                            <a:off x="10465" y="3193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0688" w:rsidRDefault="00DE1BE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34" style="width:129.75pt;height:47.25pt;position:absolute;mso-position-horizontal-relative:page;mso-position-horizontal:absolute;margin-left:63.4pt;mso-position-vertical-relative:page;margin-top:23.8pt;" coordsize="16478,6000">
                <v:shape id="Picture 266" style="position:absolute;width:16478;height:6000;left:0;top:0;" filled="f">
                  <v:imagedata r:id="rId6"/>
                </v:shape>
                <v:rect id="Rectangle 267" style="position:absolute;width:467;height:1875;left:104;top:3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Хранение </w:t>
      </w:r>
    </w:p>
    <w:p w:rsidR="00980688" w:rsidRDefault="00DE1BE6">
      <w:pPr>
        <w:spacing w:after="4"/>
        <w:ind w:left="399" w:right="5211" w:hanging="10"/>
      </w:pPr>
      <w:r>
        <w:rPr>
          <w:rFonts w:ascii="Arial" w:eastAsia="Arial" w:hAnsi="Arial" w:cs="Arial"/>
          <w:sz w:val="20"/>
        </w:rPr>
        <w:t xml:space="preserve">Добавку </w:t>
      </w:r>
      <w:proofErr w:type="spellStart"/>
      <w:r>
        <w:rPr>
          <w:rFonts w:ascii="Arial" w:eastAsia="Arial" w:hAnsi="Arial" w:cs="Arial"/>
          <w:sz w:val="20"/>
        </w:rPr>
        <w:t>MasterGlenium</w:t>
      </w:r>
      <w:proofErr w:type="spellEnd"/>
      <w:r>
        <w:rPr>
          <w:rFonts w:ascii="Arial" w:eastAsia="Arial" w:hAnsi="Arial" w:cs="Arial"/>
          <w:sz w:val="20"/>
        </w:rPr>
        <w:t xml:space="preserve"> 774S </w:t>
      </w:r>
      <w:r>
        <w:rPr>
          <w:rFonts w:ascii="Arial" w:eastAsia="Arial" w:hAnsi="Arial" w:cs="Arial"/>
          <w:sz w:val="20"/>
        </w:rPr>
        <w:t xml:space="preserve">необходимо хранить в местах, где температура не опускается ниже отметки 0°С. </w:t>
      </w:r>
    </w:p>
    <w:p w:rsidR="00980688" w:rsidRDefault="00DE1BE6">
      <w:pPr>
        <w:spacing w:after="4"/>
        <w:ind w:left="399" w:right="5211" w:hanging="10"/>
      </w:pPr>
      <w:r>
        <w:rPr>
          <w:rFonts w:ascii="Arial" w:eastAsia="Arial" w:hAnsi="Arial" w:cs="Arial"/>
          <w:sz w:val="20"/>
        </w:rPr>
        <w:t xml:space="preserve">В </w:t>
      </w:r>
      <w:r>
        <w:rPr>
          <w:rFonts w:ascii="Arial" w:eastAsia="Arial" w:hAnsi="Arial" w:cs="Arial"/>
          <w:sz w:val="20"/>
        </w:rPr>
        <w:tab/>
        <w:t xml:space="preserve">случае </w:t>
      </w:r>
      <w:r>
        <w:rPr>
          <w:rFonts w:ascii="Arial" w:eastAsia="Arial" w:hAnsi="Arial" w:cs="Arial"/>
          <w:sz w:val="20"/>
        </w:rPr>
        <w:tab/>
        <w:t xml:space="preserve">замораживания </w:t>
      </w:r>
      <w:r>
        <w:rPr>
          <w:rFonts w:ascii="Arial" w:eastAsia="Arial" w:hAnsi="Arial" w:cs="Arial"/>
          <w:sz w:val="20"/>
        </w:rPr>
        <w:tab/>
        <w:t xml:space="preserve">материала, необходимо </w:t>
      </w:r>
      <w:r>
        <w:rPr>
          <w:rFonts w:ascii="Arial" w:eastAsia="Arial" w:hAnsi="Arial" w:cs="Arial"/>
          <w:sz w:val="20"/>
        </w:rPr>
        <w:tab/>
        <w:t xml:space="preserve">разморозить </w:t>
      </w:r>
      <w:r>
        <w:rPr>
          <w:rFonts w:ascii="Arial" w:eastAsia="Arial" w:hAnsi="Arial" w:cs="Arial"/>
          <w:sz w:val="20"/>
        </w:rPr>
        <w:tab/>
        <w:t xml:space="preserve">добавку </w:t>
      </w:r>
      <w:r>
        <w:rPr>
          <w:rFonts w:ascii="Arial" w:eastAsia="Arial" w:hAnsi="Arial" w:cs="Arial"/>
          <w:sz w:val="20"/>
        </w:rPr>
        <w:tab/>
        <w:t xml:space="preserve">при плюсовой температуре и затем подвергнуть ее </w:t>
      </w:r>
      <w:r>
        <w:rPr>
          <w:rFonts w:ascii="Arial" w:eastAsia="Arial" w:hAnsi="Arial" w:cs="Arial"/>
          <w:sz w:val="20"/>
        </w:rPr>
        <w:tab/>
        <w:t xml:space="preserve">тщательной </w:t>
      </w:r>
      <w:r>
        <w:rPr>
          <w:rFonts w:ascii="Arial" w:eastAsia="Arial" w:hAnsi="Arial" w:cs="Arial"/>
          <w:sz w:val="20"/>
        </w:rPr>
        <w:tab/>
        <w:t xml:space="preserve">агитации </w:t>
      </w:r>
      <w:r>
        <w:rPr>
          <w:rFonts w:ascii="Arial" w:eastAsia="Arial" w:hAnsi="Arial" w:cs="Arial"/>
          <w:sz w:val="20"/>
        </w:rPr>
        <w:tab/>
        <w:t xml:space="preserve">до </w:t>
      </w:r>
      <w:r>
        <w:rPr>
          <w:rFonts w:ascii="Arial" w:eastAsia="Arial" w:hAnsi="Arial" w:cs="Arial"/>
          <w:sz w:val="20"/>
        </w:rPr>
        <w:tab/>
        <w:t xml:space="preserve">полного восстановления </w:t>
      </w:r>
      <w:r>
        <w:rPr>
          <w:rFonts w:ascii="Arial" w:eastAsia="Arial" w:hAnsi="Arial" w:cs="Arial"/>
          <w:sz w:val="20"/>
        </w:rPr>
        <w:tab/>
        <w:t>первонач</w:t>
      </w:r>
      <w:r>
        <w:rPr>
          <w:rFonts w:ascii="Arial" w:eastAsia="Arial" w:hAnsi="Arial" w:cs="Arial"/>
          <w:sz w:val="20"/>
        </w:rPr>
        <w:t xml:space="preserve">альной консистенции. </w:t>
      </w:r>
      <w:r>
        <w:rPr>
          <w:rFonts w:ascii="Arial" w:eastAsia="Arial" w:hAnsi="Arial" w:cs="Arial"/>
          <w:sz w:val="20"/>
        </w:rPr>
        <w:tab/>
        <w:t xml:space="preserve">Срок </w:t>
      </w:r>
      <w:r>
        <w:rPr>
          <w:rFonts w:ascii="Arial" w:eastAsia="Arial" w:hAnsi="Arial" w:cs="Arial"/>
          <w:sz w:val="20"/>
        </w:rPr>
        <w:tab/>
        <w:t xml:space="preserve">хранения </w:t>
      </w:r>
      <w:r>
        <w:rPr>
          <w:rFonts w:ascii="Arial" w:eastAsia="Arial" w:hAnsi="Arial" w:cs="Arial"/>
          <w:sz w:val="20"/>
        </w:rPr>
        <w:tab/>
        <w:t xml:space="preserve">материала составляет около 12 месяцев. </w:t>
      </w:r>
    </w:p>
    <w:p w:rsidR="00980688" w:rsidRDefault="00DE1BE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80688" w:rsidRDefault="00980688">
      <w:pPr>
        <w:spacing w:after="0"/>
      </w:pPr>
    </w:p>
    <w:p w:rsidR="00980688" w:rsidRDefault="00DE1BE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80688" w:rsidRDefault="00DE1BE6" w:rsidP="00DE1BE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80688" w:rsidRDefault="00DE1BE6">
      <w:pPr>
        <w:tabs>
          <w:tab w:val="right" w:pos="10603"/>
        </w:tabs>
        <w:spacing w:after="0"/>
        <w:ind w:right="-377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45581" cy="6096"/>
                <wp:effectExtent l="0" t="0" r="0" b="0"/>
                <wp:docPr id="3035" name="Group 3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581" cy="6096"/>
                          <a:chOff x="0" y="0"/>
                          <a:chExt cx="6545581" cy="6096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654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5581">
                                <a:moveTo>
                                  <a:pt x="0" y="0"/>
                                </a:moveTo>
                                <a:lnTo>
                                  <a:pt x="654558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5" style="width:515.4pt;height:0.48pt;mso-position-horizontal-relative:char;mso-position-vertical-relative:line" coordsize="65455,60">
                <v:shape id="Shape 413" style="position:absolute;width:65455;height:0;left:0;top:0;" coordsize="6545581,0" path="m0,0l6545581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80688" w:rsidRDefault="00DE1BE6">
      <w:pPr>
        <w:spacing w:after="31" w:line="237" w:lineRule="auto"/>
        <w:ind w:left="185"/>
        <w:jc w:val="center"/>
      </w:pPr>
      <w:r>
        <w:rPr>
          <w:rFonts w:ascii="Arial" w:eastAsia="Arial" w:hAnsi="Arial" w:cs="Arial"/>
          <w:sz w:val="16"/>
        </w:rPr>
        <w:t xml:space="preserve">Несмотря на то, что вся предоставленная в техническом описании информация является правдивой, точной и сочетает в себе проверенные данные и весь накопленный опыт, компания не несет никакой ответственности за применение материала не по </w:t>
      </w:r>
    </w:p>
    <w:p w:rsidR="00980688" w:rsidRDefault="00DE1BE6">
      <w:pPr>
        <w:spacing w:after="0"/>
        <w:ind w:left="881"/>
      </w:pPr>
      <w:r>
        <w:rPr>
          <w:rFonts w:ascii="Arial" w:eastAsia="Arial" w:hAnsi="Arial" w:cs="Arial"/>
          <w:sz w:val="16"/>
        </w:rPr>
        <w:t>назначению, за предо</w:t>
      </w:r>
      <w:r>
        <w:rPr>
          <w:rFonts w:ascii="Arial" w:eastAsia="Arial" w:hAnsi="Arial" w:cs="Arial"/>
          <w:sz w:val="16"/>
        </w:rPr>
        <w:t xml:space="preserve">ставленные технические рекомендации, и за действия наших представителей или дистрибьюторов. </w:t>
      </w:r>
    </w:p>
    <w:p w:rsidR="00980688" w:rsidRDefault="00DE1BE6">
      <w:pPr>
        <w:spacing w:after="0"/>
      </w:pPr>
      <w:r>
        <w:rPr>
          <w:rFonts w:ascii="Arial" w:eastAsia="Arial" w:hAnsi="Arial" w:cs="Arial"/>
          <w:sz w:val="17"/>
        </w:rPr>
        <w:t xml:space="preserve"> </w:t>
      </w:r>
    </w:p>
    <w:p w:rsidR="00980688" w:rsidRDefault="00DE1BE6">
      <w:pPr>
        <w:spacing w:after="0" w:line="286" w:lineRule="auto"/>
        <w:ind w:left="387"/>
        <w:jc w:val="center"/>
      </w:pPr>
      <w:r>
        <w:rPr>
          <w:rFonts w:ascii="Arial" w:eastAsia="Arial" w:hAnsi="Arial" w:cs="Arial"/>
          <w:b/>
          <w:sz w:val="16"/>
        </w:rPr>
        <w:t xml:space="preserve">Все данные, указанные в техническом описании периодически обновляются, обязанностью потребителя является получение последней обновленной версии. </w:t>
      </w:r>
    </w:p>
    <w:p w:rsidR="00980688" w:rsidRDefault="00DE1BE6">
      <w:pPr>
        <w:spacing w:after="0"/>
      </w:pPr>
      <w:r>
        <w:rPr>
          <w:rFonts w:ascii="Arial" w:eastAsia="Arial" w:hAnsi="Arial" w:cs="Arial"/>
          <w:b/>
          <w:sz w:val="12"/>
        </w:rPr>
        <w:t xml:space="preserve"> </w:t>
      </w:r>
      <w:bookmarkStart w:id="0" w:name="_GoBack"/>
      <w:bookmarkEnd w:id="0"/>
    </w:p>
    <w:sectPr w:rsidR="00980688">
      <w:type w:val="continuous"/>
      <w:pgSz w:w="11899" w:h="16841"/>
      <w:pgMar w:top="1440" w:right="774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25A"/>
    <w:multiLevelType w:val="hybridMultilevel"/>
    <w:tmpl w:val="8F4E308A"/>
    <w:lvl w:ilvl="0" w:tplc="950C691E">
      <w:start w:val="1"/>
      <w:numFmt w:val="bullet"/>
      <w:lvlText w:val="•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058A">
      <w:start w:val="1"/>
      <w:numFmt w:val="bullet"/>
      <w:lvlText w:val="o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0490FA">
      <w:start w:val="1"/>
      <w:numFmt w:val="bullet"/>
      <w:lvlText w:val="▪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490FA">
      <w:start w:val="1"/>
      <w:numFmt w:val="bullet"/>
      <w:lvlText w:val="•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EBC0A">
      <w:start w:val="1"/>
      <w:numFmt w:val="bullet"/>
      <w:lvlText w:val="o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8E668">
      <w:start w:val="1"/>
      <w:numFmt w:val="bullet"/>
      <w:lvlText w:val="▪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62ECC">
      <w:start w:val="1"/>
      <w:numFmt w:val="bullet"/>
      <w:lvlText w:val="•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491D0">
      <w:start w:val="1"/>
      <w:numFmt w:val="bullet"/>
      <w:lvlText w:val="o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EE132">
      <w:start w:val="1"/>
      <w:numFmt w:val="bullet"/>
      <w:lvlText w:val="▪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716A3A"/>
    <w:multiLevelType w:val="hybridMultilevel"/>
    <w:tmpl w:val="215070C4"/>
    <w:lvl w:ilvl="0" w:tplc="813EB4A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00CEEC">
      <w:start w:val="1"/>
      <w:numFmt w:val="bullet"/>
      <w:lvlText w:val="o"/>
      <w:lvlJc w:val="left"/>
      <w:pPr>
        <w:ind w:left="1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8E64A">
      <w:start w:val="1"/>
      <w:numFmt w:val="bullet"/>
      <w:lvlText w:val="▪"/>
      <w:lvlJc w:val="left"/>
      <w:pPr>
        <w:ind w:left="2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6E8F7E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EA79E8">
      <w:start w:val="1"/>
      <w:numFmt w:val="bullet"/>
      <w:lvlText w:val="o"/>
      <w:lvlJc w:val="left"/>
      <w:pPr>
        <w:ind w:left="3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CA6624">
      <w:start w:val="1"/>
      <w:numFmt w:val="bullet"/>
      <w:lvlText w:val="▪"/>
      <w:lvlJc w:val="left"/>
      <w:pPr>
        <w:ind w:left="4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2EAB6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4C7E7E">
      <w:start w:val="1"/>
      <w:numFmt w:val="bullet"/>
      <w:lvlText w:val="o"/>
      <w:lvlJc w:val="left"/>
      <w:pPr>
        <w:ind w:left="5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87570">
      <w:start w:val="1"/>
      <w:numFmt w:val="bullet"/>
      <w:lvlText w:val="▪"/>
      <w:lvlJc w:val="left"/>
      <w:pPr>
        <w:ind w:left="6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88"/>
    <w:rsid w:val="00980688"/>
    <w:rsid w:val="00D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BBD9"/>
  <w15:docId w15:val="{518D4904-01A8-4528-812B-99458369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0" w:hanging="10"/>
      <w:outlineLvl w:val="0"/>
    </w:pPr>
    <w:rPr>
      <w:rFonts w:ascii="Arial" w:eastAsia="Arial" w:hAnsi="Arial" w:cs="Arial"/>
      <w:color w:val="7F7F7F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2" w:line="252" w:lineRule="auto"/>
      <w:ind w:left="13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color w:val="7F7F7F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Glenium 150 Frost rus.DOC</dc:title>
  <dc:subject/>
  <dc:creator>BotabeA</dc:creator>
  <cp:keywords/>
  <cp:lastModifiedBy>Пользователь</cp:lastModifiedBy>
  <cp:revision>2</cp:revision>
  <dcterms:created xsi:type="dcterms:W3CDTF">2019-04-16T13:25:00Z</dcterms:created>
  <dcterms:modified xsi:type="dcterms:W3CDTF">2019-04-16T13:25:00Z</dcterms:modified>
</cp:coreProperties>
</file>