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1A" w:rsidRDefault="000D1B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7A1A" w:rsidRDefault="000D1BCB">
      <w:pPr>
        <w:spacing w:after="0" w:line="259" w:lineRule="auto"/>
        <w:ind w:left="0" w:right="59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425196</wp:posOffset>
                </wp:positionH>
                <wp:positionV relativeFrom="paragraph">
                  <wp:posOffset>44956</wp:posOffset>
                </wp:positionV>
                <wp:extent cx="2295144" cy="1206715"/>
                <wp:effectExtent l="0" t="0" r="0" b="0"/>
                <wp:wrapSquare wrapText="bothSides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144" cy="1206715"/>
                          <a:chOff x="0" y="0"/>
                          <a:chExt cx="2295144" cy="12067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144" cy="1152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294132" y="817940"/>
                            <a:ext cx="103055" cy="51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A1A" w:rsidRDefault="000D1B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41" style="width:180.72pt;height:95.0169pt;position:absolute;mso-position-horizontal-relative:margin;mso-position-horizontal:absolute;margin-left:33.48pt;mso-position-vertical-relative:text;margin-top:3.53983pt;" coordsize="22951,12067">
                <v:shape id="Picture 9" style="position:absolute;width:22951;height:11521;left:0;top:0;" filled="f">
                  <v:imagedata r:id="rId6"/>
                </v:shape>
                <v:rect id="Rectangle 17" style="position:absolute;width:1030;height:5170;left:2941;top:8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7F7A1A" w:rsidRDefault="000D1BCB">
      <w:pPr>
        <w:spacing w:after="0" w:line="259" w:lineRule="auto"/>
        <w:ind w:left="0" w:right="5991" w:firstLine="0"/>
        <w:jc w:val="left"/>
      </w:pPr>
      <w:r>
        <w:t xml:space="preserve"> </w:t>
      </w:r>
    </w:p>
    <w:p w:rsidR="007F7A1A" w:rsidRDefault="000D1BCB">
      <w:pPr>
        <w:spacing w:after="0" w:line="259" w:lineRule="auto"/>
        <w:ind w:left="0" w:right="5991" w:firstLine="0"/>
        <w:jc w:val="left"/>
      </w:pPr>
      <w:r>
        <w:t xml:space="preserve"> </w:t>
      </w:r>
    </w:p>
    <w:p w:rsidR="007F7A1A" w:rsidRDefault="000D1BCB">
      <w:pPr>
        <w:spacing w:after="0" w:line="259" w:lineRule="auto"/>
        <w:ind w:left="0" w:right="5991" w:firstLine="0"/>
        <w:jc w:val="left"/>
      </w:pPr>
      <w:r>
        <w:t xml:space="preserve"> </w:t>
      </w:r>
    </w:p>
    <w:p w:rsidR="007F7A1A" w:rsidRDefault="000D1BCB">
      <w:pPr>
        <w:spacing w:after="0" w:line="259" w:lineRule="auto"/>
        <w:ind w:left="0" w:right="5991" w:firstLine="0"/>
        <w:jc w:val="left"/>
      </w:pPr>
      <w:r>
        <w:t xml:space="preserve"> </w:t>
      </w:r>
    </w:p>
    <w:p w:rsidR="007F7A1A" w:rsidRDefault="000D1BCB">
      <w:pPr>
        <w:spacing w:after="680" w:line="259" w:lineRule="auto"/>
        <w:ind w:left="0" w:right="5991" w:firstLine="0"/>
        <w:jc w:val="left"/>
      </w:pPr>
      <w:r>
        <w:t xml:space="preserve"> </w:t>
      </w:r>
    </w:p>
    <w:p w:rsidR="007F7A1A" w:rsidRDefault="000D1BCB">
      <w:pPr>
        <w:pStyle w:val="1"/>
        <w:ind w:left="11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372008</wp:posOffset>
                </wp:positionV>
                <wp:extent cx="6083935" cy="12700"/>
                <wp:effectExtent l="0" t="0" r="0" b="0"/>
                <wp:wrapNone/>
                <wp:docPr id="3842" name="Group 3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12700"/>
                          <a:chOff x="0" y="0"/>
                          <a:chExt cx="6083935" cy="1270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083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35">
                                <a:moveTo>
                                  <a:pt x="0" y="0"/>
                                </a:moveTo>
                                <a:lnTo>
                                  <a:pt x="608393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42" style="width:479.05pt;height:1pt;position:absolute;z-index:20;mso-position-horizontal-relative:text;mso-position-horizontal:absolute;margin-left:57.5pt;mso-position-vertical-relative:text;margin-top:29.2919pt;" coordsize="60839,127">
                <v:shape id="Shape 27" style="position:absolute;width:60839;height:0;left:0;top:0;" coordsize="6083935,0" path="m0,0l6083935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t>MasterGlenium</w:t>
      </w:r>
      <w:proofErr w:type="spellEnd"/>
      <w:r>
        <w:rPr>
          <w:vertAlign w:val="superscript"/>
        </w:rPr>
        <w:t>®</w:t>
      </w:r>
      <w:r>
        <w:t xml:space="preserve"> 116 </w:t>
      </w:r>
      <w:r>
        <w:rPr>
          <w:sz w:val="20"/>
        </w:rPr>
        <w:t xml:space="preserve"> </w:t>
      </w:r>
    </w:p>
    <w:p w:rsidR="007F7A1A" w:rsidRDefault="000D1BCB">
      <w:pPr>
        <w:spacing w:after="60" w:line="259" w:lineRule="auto"/>
        <w:ind w:left="1133" w:right="0" w:firstLine="0"/>
        <w:jc w:val="left"/>
      </w:pPr>
      <w:r>
        <w:rPr>
          <w:sz w:val="16"/>
        </w:rPr>
        <w:t xml:space="preserve"> </w:t>
      </w:r>
    </w:p>
    <w:p w:rsidR="007F7A1A" w:rsidRDefault="000D1BCB">
      <w:pPr>
        <w:spacing w:after="16" w:line="259" w:lineRule="auto"/>
        <w:ind w:left="1128" w:right="0"/>
        <w:jc w:val="left"/>
      </w:pPr>
      <w:r>
        <w:rPr>
          <w:sz w:val="24"/>
        </w:rPr>
        <w:t>(</w:t>
      </w:r>
      <w:proofErr w:type="spellStart"/>
      <w:r>
        <w:rPr>
          <w:sz w:val="24"/>
        </w:rPr>
        <w:t>Glenium</w:t>
      </w:r>
      <w:proofErr w:type="spellEnd"/>
      <w:r>
        <w:rPr>
          <w:sz w:val="24"/>
        </w:rPr>
        <w:t xml:space="preserve"> 116) </w:t>
      </w:r>
    </w:p>
    <w:p w:rsidR="007F7A1A" w:rsidRDefault="000D1BCB">
      <w:pPr>
        <w:spacing w:after="0" w:line="259" w:lineRule="auto"/>
        <w:ind w:left="1133" w:right="0" w:firstLine="0"/>
        <w:jc w:val="left"/>
      </w:pPr>
      <w:r>
        <w:rPr>
          <w:sz w:val="28"/>
        </w:rPr>
        <w:t xml:space="preserve"> </w:t>
      </w:r>
    </w:p>
    <w:p w:rsidR="007F7A1A" w:rsidRDefault="000D1BCB">
      <w:pPr>
        <w:spacing w:after="0" w:line="300" w:lineRule="auto"/>
        <w:ind w:left="1133" w:right="0" w:firstLine="0"/>
        <w:jc w:val="left"/>
      </w:pPr>
      <w:r>
        <w:rPr>
          <w:b/>
          <w:sz w:val="24"/>
        </w:rPr>
        <w:t xml:space="preserve">Высокоэффективная </w:t>
      </w:r>
      <w:proofErr w:type="spellStart"/>
      <w:r>
        <w:rPr>
          <w:b/>
          <w:sz w:val="24"/>
        </w:rPr>
        <w:t>высоководоредуцирующая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суперпластифицирующая</w:t>
      </w:r>
      <w:proofErr w:type="spellEnd"/>
      <w:r>
        <w:rPr>
          <w:b/>
          <w:sz w:val="24"/>
        </w:rPr>
        <w:t xml:space="preserve"> добавка на основе </w:t>
      </w:r>
      <w:proofErr w:type="spellStart"/>
      <w:r>
        <w:rPr>
          <w:b/>
          <w:sz w:val="24"/>
        </w:rPr>
        <w:t>поликарбоксилатного</w:t>
      </w:r>
      <w:proofErr w:type="spellEnd"/>
      <w:r>
        <w:rPr>
          <w:b/>
          <w:sz w:val="24"/>
        </w:rPr>
        <w:t xml:space="preserve"> эфира </w:t>
      </w:r>
    </w:p>
    <w:p w:rsidR="007F7A1A" w:rsidRDefault="007F7A1A">
      <w:pPr>
        <w:sectPr w:rsidR="007F7A1A">
          <w:pgSz w:w="11906" w:h="16841"/>
          <w:pgMar w:top="0" w:right="1631" w:bottom="1440" w:left="0" w:header="720" w:footer="720" w:gutter="0"/>
          <w:cols w:space="720"/>
        </w:sectPr>
      </w:pPr>
    </w:p>
    <w:p w:rsidR="007F7A1A" w:rsidRDefault="000D1BCB">
      <w:pPr>
        <w:spacing w:after="231" w:line="259" w:lineRule="auto"/>
        <w:ind w:left="1133" w:right="0" w:firstLine="0"/>
        <w:jc w:val="left"/>
      </w:pPr>
      <w:r>
        <w:rPr>
          <w:sz w:val="16"/>
        </w:rPr>
        <w:lastRenderedPageBreak/>
        <w:t xml:space="preserve"> </w:t>
      </w:r>
    </w:p>
    <w:p w:rsidR="007F7A1A" w:rsidRDefault="000D1BCB">
      <w:pPr>
        <w:pStyle w:val="2"/>
        <w:ind w:left="1128"/>
      </w:pPr>
      <w:r>
        <w:t xml:space="preserve">ОБЛАСТИ ПРИМЕНЕНИЯ </w:t>
      </w:r>
      <w:r>
        <w:rPr>
          <w:b w:val="0"/>
        </w:rPr>
        <w:t xml:space="preserve"> </w:t>
      </w:r>
    </w:p>
    <w:p w:rsidR="007F7A1A" w:rsidRDefault="000D1BCB">
      <w:pPr>
        <w:spacing w:after="274"/>
        <w:ind w:left="1128" w:right="43"/>
      </w:pPr>
      <w:r>
        <w:t xml:space="preserve">Применяется при производстве как товарного бетона, так и сборного железобетона. Эффективно работает в смесях любого класса подвижности. Прекрасно подходит для производства высокопрочных бетонов.  </w:t>
      </w:r>
    </w:p>
    <w:p w:rsidR="007F7A1A" w:rsidRDefault="000D1BCB">
      <w:pPr>
        <w:pStyle w:val="2"/>
        <w:spacing w:after="76"/>
        <w:ind w:left="1128"/>
      </w:pPr>
      <w:r>
        <w:t>ПРЕИМУЩЕСТВА</w:t>
      </w:r>
      <w:r>
        <w:rPr>
          <w:b w:val="0"/>
        </w:rPr>
        <w:t xml:space="preserve"> </w:t>
      </w:r>
    </w:p>
    <w:p w:rsidR="007F7A1A" w:rsidRDefault="000D1BCB">
      <w:pPr>
        <w:numPr>
          <w:ilvl w:val="0"/>
          <w:numId w:val="1"/>
        </w:numPr>
        <w:spacing w:after="59"/>
        <w:ind w:right="43" w:hanging="146"/>
      </w:pPr>
      <w:r>
        <w:t xml:space="preserve">Высокая ранняя и конечная прочность.  </w:t>
      </w:r>
    </w:p>
    <w:p w:rsidR="007F7A1A" w:rsidRDefault="000D1BCB">
      <w:pPr>
        <w:numPr>
          <w:ilvl w:val="0"/>
          <w:numId w:val="1"/>
        </w:numPr>
        <w:spacing w:line="340" w:lineRule="auto"/>
        <w:ind w:right="43" w:hanging="146"/>
      </w:pPr>
      <w:r>
        <w:t>Рекоме</w:t>
      </w:r>
      <w:r>
        <w:t xml:space="preserve">ндуется для изготовления высокоподвижных и бетонных смесей. </w:t>
      </w:r>
      <w:r>
        <w:rPr>
          <w:rFonts w:ascii="Segoe UI Symbol" w:eastAsia="Segoe UI Symbol" w:hAnsi="Segoe UI Symbol" w:cs="Segoe UI Symbol"/>
        </w:rPr>
        <w:t>•</w:t>
      </w:r>
      <w:r>
        <w:t xml:space="preserve"> Высокая </w:t>
      </w:r>
      <w:proofErr w:type="spellStart"/>
      <w:r>
        <w:t>водоредуцирующая</w:t>
      </w:r>
      <w:proofErr w:type="spellEnd"/>
      <w:r>
        <w:t xml:space="preserve"> способность. </w:t>
      </w:r>
      <w:r>
        <w:rPr>
          <w:rFonts w:ascii="Segoe UI Symbol" w:eastAsia="Segoe UI Symbol" w:hAnsi="Segoe UI Symbol" w:cs="Segoe UI Symbol"/>
        </w:rPr>
        <w:t>•</w:t>
      </w:r>
      <w:r>
        <w:t xml:space="preserve"> Получение бетонов высоких классов прочности на более низких расходах цемента. </w:t>
      </w:r>
    </w:p>
    <w:p w:rsidR="007F7A1A" w:rsidRDefault="000D1BCB">
      <w:pPr>
        <w:numPr>
          <w:ilvl w:val="0"/>
          <w:numId w:val="1"/>
        </w:numPr>
        <w:spacing w:after="87"/>
        <w:ind w:right="43" w:hanging="146"/>
      </w:pPr>
      <w:r>
        <w:t>Подходит для смесей, предназначенных для изготовления предварительно напряж</w:t>
      </w:r>
      <w:r>
        <w:t xml:space="preserve">енных несущих конструкций. </w:t>
      </w:r>
    </w:p>
    <w:p w:rsidR="007F7A1A" w:rsidRDefault="000D1BCB">
      <w:pPr>
        <w:numPr>
          <w:ilvl w:val="0"/>
          <w:numId w:val="1"/>
        </w:numPr>
        <w:spacing w:after="59"/>
        <w:ind w:right="43" w:hanging="146"/>
      </w:pPr>
      <w:r>
        <w:t xml:space="preserve">Улучшает качество поверхности бетона. </w:t>
      </w:r>
    </w:p>
    <w:p w:rsidR="007F7A1A" w:rsidRDefault="000D1BCB">
      <w:pPr>
        <w:numPr>
          <w:ilvl w:val="0"/>
          <w:numId w:val="1"/>
        </w:numPr>
        <w:spacing w:after="89"/>
        <w:ind w:right="43" w:hanging="146"/>
      </w:pPr>
      <w:r>
        <w:t xml:space="preserve">Улучшает физические свойства (увеличивает плотность бетона и понижает проницаемость) и, таким образом, долговечность бетона </w:t>
      </w:r>
    </w:p>
    <w:p w:rsidR="007F7A1A" w:rsidRDefault="000D1BCB">
      <w:pPr>
        <w:numPr>
          <w:ilvl w:val="0"/>
          <w:numId w:val="1"/>
        </w:numPr>
        <w:spacing w:after="88"/>
        <w:ind w:right="43" w:hanging="146"/>
      </w:pPr>
      <w:r>
        <w:t xml:space="preserve">Позволяет снизить продолжительность тепловой обработки или полностью ее исключить. </w:t>
      </w:r>
    </w:p>
    <w:p w:rsidR="007F7A1A" w:rsidRDefault="000D1BCB">
      <w:pPr>
        <w:numPr>
          <w:ilvl w:val="0"/>
          <w:numId w:val="1"/>
        </w:numPr>
        <w:ind w:right="43" w:hanging="146"/>
      </w:pPr>
      <w:r>
        <w:t xml:space="preserve">Позволяет снизить продолжительность и интенсивность </w:t>
      </w:r>
      <w:proofErr w:type="spellStart"/>
      <w:r>
        <w:t>виброуплотнения</w:t>
      </w:r>
      <w:proofErr w:type="spellEnd"/>
      <w:r>
        <w:t xml:space="preserve"> или полностью отказаться от него. </w:t>
      </w:r>
    </w:p>
    <w:p w:rsidR="007F7A1A" w:rsidRDefault="000D1BCB">
      <w:pPr>
        <w:spacing w:after="71" w:line="259" w:lineRule="auto"/>
        <w:ind w:left="1133" w:right="0" w:firstLine="0"/>
        <w:jc w:val="left"/>
      </w:pPr>
      <w:r>
        <w:t xml:space="preserve"> </w:t>
      </w:r>
    </w:p>
    <w:p w:rsidR="007F7A1A" w:rsidRDefault="000D1BCB">
      <w:pPr>
        <w:pStyle w:val="2"/>
        <w:ind w:left="1128"/>
      </w:pPr>
      <w:r>
        <w:lastRenderedPageBreak/>
        <w:t xml:space="preserve">РЕКОМЕНДАЦИИ ПО ПРИМЕНЕНИЮ  </w:t>
      </w:r>
    </w:p>
    <w:p w:rsidR="007F7A1A" w:rsidRDefault="000D1BCB">
      <w:pPr>
        <w:ind w:left="1128" w:right="43"/>
      </w:pPr>
      <w:r>
        <w:t>Нельзя добавлять в сухую смесь! Следуе</w:t>
      </w:r>
      <w:r>
        <w:t xml:space="preserve">т вводить добавку вместе с водой </w:t>
      </w:r>
      <w:proofErr w:type="spellStart"/>
      <w:r>
        <w:t>затворения</w:t>
      </w:r>
      <w:proofErr w:type="spellEnd"/>
      <w:r>
        <w:t xml:space="preserve"> (предпочтительно с последней третью воды). Наилучший эффект достигается, когда добавка вводится в бетонную смесь после добавления всей воды. В любом случае необходимо обеспечивать достаточное время перемешивания </w:t>
      </w:r>
      <w:r>
        <w:t xml:space="preserve">после введения добавки. </w:t>
      </w:r>
    </w:p>
    <w:p w:rsidR="007F7A1A" w:rsidRDefault="000D1BCB">
      <w:pPr>
        <w:spacing w:after="65" w:line="259" w:lineRule="auto"/>
        <w:ind w:left="1133" w:right="0" w:firstLine="0"/>
        <w:jc w:val="left"/>
      </w:pPr>
      <w:r>
        <w:t xml:space="preserve"> </w:t>
      </w:r>
    </w:p>
    <w:p w:rsidR="007F7A1A" w:rsidRDefault="000D1BCB">
      <w:pPr>
        <w:pStyle w:val="2"/>
        <w:spacing w:after="64"/>
        <w:ind w:left="1128"/>
      </w:pPr>
      <w:r>
        <w:t xml:space="preserve">ДОЗИРОВКА </w:t>
      </w:r>
      <w:r>
        <w:rPr>
          <w:b w:val="0"/>
        </w:rPr>
        <w:t xml:space="preserve"> </w:t>
      </w:r>
    </w:p>
    <w:p w:rsidR="007F7A1A" w:rsidRDefault="000D1BCB">
      <w:pPr>
        <w:ind w:left="1128" w:right="43"/>
      </w:pPr>
      <w:r>
        <w:t>Рекомендуемая дозировка составляет 0,4-</w:t>
      </w:r>
    </w:p>
    <w:p w:rsidR="007F7A1A" w:rsidRDefault="000D1BCB">
      <w:pPr>
        <w:spacing w:after="111"/>
        <w:ind w:left="1128" w:right="43"/>
      </w:pPr>
      <w:r>
        <w:t xml:space="preserve">2,0% от массы цемента. Точное количество </w:t>
      </w:r>
    </w:p>
    <w:p w:rsidR="007F7A1A" w:rsidRDefault="000D1B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7A1A" w:rsidRDefault="000D1BCB">
      <w:pPr>
        <w:spacing w:after="218" w:line="334" w:lineRule="auto"/>
        <w:ind w:left="11" w:right="43"/>
      </w:pPr>
      <w:r>
        <w:t xml:space="preserve">добавки следует подбирать в лаборатории путем проведения пробных замесов. </w:t>
      </w:r>
    </w:p>
    <w:p w:rsidR="007F7A1A" w:rsidRDefault="000D1BCB">
      <w:pPr>
        <w:pStyle w:val="2"/>
        <w:spacing w:after="35"/>
        <w:ind w:left="11"/>
      </w:pPr>
      <w:r>
        <w:t>СОВМЕСТИМОСТЬ</w:t>
      </w:r>
      <w:r>
        <w:rPr>
          <w:b w:val="0"/>
        </w:rPr>
        <w:t xml:space="preserve"> </w:t>
      </w:r>
    </w:p>
    <w:p w:rsidR="007F7A1A" w:rsidRDefault="000D1BCB">
      <w:pPr>
        <w:ind w:left="11" w:right="43"/>
      </w:pPr>
      <w:proofErr w:type="spellStart"/>
      <w:r>
        <w:t>MasterGlenium</w:t>
      </w:r>
      <w:proofErr w:type="spellEnd"/>
      <w:r>
        <w:t xml:space="preserve"> совместим с воздухововлекающими добавками серии </w:t>
      </w:r>
    </w:p>
    <w:p w:rsidR="007F7A1A" w:rsidRDefault="000D1BCB">
      <w:pPr>
        <w:spacing w:after="70"/>
        <w:ind w:left="11" w:right="43"/>
      </w:pPr>
      <w:proofErr w:type="spellStart"/>
      <w:r>
        <w:t>MasterAir</w:t>
      </w:r>
      <w:proofErr w:type="spellEnd"/>
      <w:r>
        <w:t xml:space="preserve">, модификаторами вязкости </w:t>
      </w:r>
      <w:proofErr w:type="spellStart"/>
      <w:r>
        <w:t>MasterMatrix</w:t>
      </w:r>
      <w:proofErr w:type="spellEnd"/>
      <w:r>
        <w:t xml:space="preserve"> </w:t>
      </w:r>
    </w:p>
    <w:p w:rsidR="007F7A1A" w:rsidRDefault="000D1BCB">
      <w:pPr>
        <w:ind w:left="11" w:right="43"/>
      </w:pPr>
      <w:r>
        <w:t xml:space="preserve">100 одной суспензией </w:t>
      </w:r>
      <w:proofErr w:type="spellStart"/>
      <w:r>
        <w:t>микрокремнезема</w:t>
      </w:r>
      <w:proofErr w:type="spellEnd"/>
      <w:r>
        <w:t xml:space="preserve"> </w:t>
      </w:r>
      <w:proofErr w:type="spellStart"/>
      <w:r>
        <w:t>MasterLife</w:t>
      </w:r>
      <w:proofErr w:type="spellEnd"/>
      <w:r>
        <w:t xml:space="preserve"> 500 S, пластифицирующими добавками серии </w:t>
      </w:r>
      <w:proofErr w:type="spellStart"/>
      <w:r>
        <w:t>MasterPozzolith</w:t>
      </w:r>
      <w:proofErr w:type="spellEnd"/>
      <w:r>
        <w:t>. Не рекомендуется совмещать при пригото</w:t>
      </w:r>
      <w:r>
        <w:t xml:space="preserve">влении бетонной смеси с </w:t>
      </w:r>
      <w:proofErr w:type="spellStart"/>
      <w:r>
        <w:t>суперпластификаторами</w:t>
      </w:r>
      <w:proofErr w:type="spellEnd"/>
      <w:r>
        <w:t xml:space="preserve"> на основе нафталинов, т.к. это приводит к снижению пластифицирующего действия и увеличению дозировки добавки. При использовании других добавок необходимо проверить их совместимость с </w:t>
      </w:r>
      <w:proofErr w:type="spellStart"/>
      <w:r>
        <w:t>MasterGlenium</w:t>
      </w:r>
      <w:proofErr w:type="spellEnd"/>
      <w:r>
        <w:t xml:space="preserve"> </w:t>
      </w:r>
    </w:p>
    <w:p w:rsidR="007F7A1A" w:rsidRDefault="000D1BCB">
      <w:pPr>
        <w:spacing w:after="0"/>
        <w:ind w:left="11" w:right="43"/>
      </w:pPr>
      <w:r>
        <w:t xml:space="preserve">116.  </w:t>
      </w:r>
    </w:p>
    <w:tbl>
      <w:tblPr>
        <w:tblStyle w:val="TableGrid"/>
        <w:tblW w:w="4567" w:type="dxa"/>
        <w:tblInd w:w="1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4"/>
        <w:gridCol w:w="2433"/>
      </w:tblGrid>
      <w:tr w:rsidR="007F7A1A">
        <w:trPr>
          <w:trHeight w:val="24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1A" w:rsidRDefault="000D1BCB">
            <w:pPr>
              <w:spacing w:after="0" w:line="259" w:lineRule="auto"/>
              <w:ind w:left="0" w:right="0" w:firstLine="0"/>
              <w:jc w:val="left"/>
            </w:pPr>
            <w:r>
              <w:t>Показ</w:t>
            </w:r>
            <w:r>
              <w:t xml:space="preserve">атель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1A" w:rsidRDefault="000D1BCB">
            <w:pPr>
              <w:spacing w:after="0" w:line="259" w:lineRule="auto"/>
              <w:ind w:left="4" w:right="0" w:firstLine="0"/>
              <w:jc w:val="center"/>
            </w:pPr>
            <w:r>
              <w:t xml:space="preserve">Значение показателя </w:t>
            </w:r>
          </w:p>
        </w:tc>
      </w:tr>
      <w:tr w:rsidR="007F7A1A">
        <w:trPr>
          <w:trHeight w:val="46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1A" w:rsidRDefault="000D1BCB">
            <w:pPr>
              <w:spacing w:after="0" w:line="259" w:lineRule="auto"/>
              <w:ind w:left="0" w:right="0" w:firstLine="0"/>
              <w:jc w:val="left"/>
            </w:pPr>
            <w:r>
              <w:t xml:space="preserve">Внешний вид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1A" w:rsidRDefault="000D1BCB">
            <w:pPr>
              <w:spacing w:after="0" w:line="259" w:lineRule="auto"/>
              <w:ind w:left="0" w:right="0" w:firstLine="0"/>
              <w:jc w:val="center"/>
            </w:pPr>
            <w:r>
              <w:t xml:space="preserve">Однородная жидкость коричневого цвета </w:t>
            </w:r>
          </w:p>
        </w:tc>
      </w:tr>
      <w:tr w:rsidR="007F7A1A">
        <w:trPr>
          <w:trHeight w:val="24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1A" w:rsidRDefault="000D1BC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Плотность, кг/м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1A" w:rsidRDefault="000D1BCB">
            <w:pPr>
              <w:spacing w:after="0" w:line="259" w:lineRule="auto"/>
              <w:ind w:left="3" w:right="0" w:firstLine="0"/>
              <w:jc w:val="center"/>
            </w:pPr>
            <w:r>
              <w:t xml:space="preserve">1040-1080 </w:t>
            </w:r>
          </w:p>
        </w:tc>
      </w:tr>
      <w:tr w:rsidR="007F7A1A">
        <w:trPr>
          <w:trHeight w:val="47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1A" w:rsidRDefault="000D1BCB">
            <w:pPr>
              <w:spacing w:after="0" w:line="259" w:lineRule="auto"/>
              <w:ind w:left="0" w:right="0" w:firstLine="0"/>
              <w:jc w:val="left"/>
            </w:pPr>
            <w:r>
              <w:t xml:space="preserve">Водородный показатель, рН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1A" w:rsidRDefault="000D1BCB">
            <w:pPr>
              <w:spacing w:after="0" w:line="259" w:lineRule="auto"/>
              <w:ind w:left="7" w:right="0" w:firstLine="0"/>
              <w:jc w:val="center"/>
            </w:pPr>
            <w:r>
              <w:t xml:space="preserve">4-7 </w:t>
            </w:r>
          </w:p>
        </w:tc>
      </w:tr>
      <w:tr w:rsidR="007F7A1A">
        <w:trPr>
          <w:trHeight w:val="70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1A" w:rsidRDefault="000D1BCB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</w:t>
            </w:r>
            <w:proofErr w:type="spellStart"/>
            <w:r>
              <w:t>Clиона</w:t>
            </w:r>
            <w:proofErr w:type="spellEnd"/>
            <w:r>
              <w:t xml:space="preserve">, </w:t>
            </w:r>
            <w:proofErr w:type="gramStart"/>
            <w:r>
              <w:t>в масс</w:t>
            </w:r>
            <w:proofErr w:type="gramEnd"/>
            <w:r>
              <w:t xml:space="preserve">. %, не более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1A" w:rsidRDefault="000D1BCB">
            <w:pPr>
              <w:spacing w:after="0" w:line="259" w:lineRule="auto"/>
              <w:ind w:left="5" w:right="0" w:firstLine="0"/>
              <w:jc w:val="center"/>
            </w:pPr>
            <w:r>
              <w:t xml:space="preserve">0,1 </w:t>
            </w:r>
          </w:p>
        </w:tc>
      </w:tr>
    </w:tbl>
    <w:p w:rsidR="007F7A1A" w:rsidRDefault="000D1BCB">
      <w:pPr>
        <w:spacing w:after="297" w:line="259" w:lineRule="auto"/>
        <w:ind w:left="361" w:right="0" w:firstLine="0"/>
        <w:jc w:val="left"/>
      </w:pPr>
      <w:r>
        <w:rPr>
          <w:sz w:val="16"/>
        </w:rPr>
        <w:t xml:space="preserve"> </w:t>
      </w:r>
    </w:p>
    <w:p w:rsidR="007F7A1A" w:rsidRDefault="000D1BCB">
      <w:pPr>
        <w:pStyle w:val="2"/>
        <w:spacing w:after="47"/>
        <w:ind w:left="11"/>
      </w:pPr>
      <w:r>
        <w:t>УПАКОВКА</w:t>
      </w:r>
      <w:r>
        <w:rPr>
          <w:b w:val="0"/>
        </w:rPr>
        <w:t xml:space="preserve"> </w:t>
      </w:r>
    </w:p>
    <w:p w:rsidR="007F7A1A" w:rsidRDefault="000D1BCB">
      <w:pPr>
        <w:spacing w:after="203" w:line="346" w:lineRule="auto"/>
        <w:ind w:left="10" w:right="43"/>
      </w:pPr>
      <w:proofErr w:type="spellStart"/>
      <w:r>
        <w:t>MasterGlenium</w:t>
      </w:r>
      <w:proofErr w:type="spellEnd"/>
      <w:r>
        <w:t xml:space="preserve"> 116 поставляется в канистрах по 20 </w:t>
      </w:r>
      <w:r>
        <w:t xml:space="preserve">кг, контейнерах по 1000 кг и в налив. </w:t>
      </w:r>
    </w:p>
    <w:p w:rsidR="007F7A1A" w:rsidRDefault="000D1BCB">
      <w:pPr>
        <w:pStyle w:val="2"/>
        <w:spacing w:after="62"/>
        <w:ind w:left="10"/>
      </w:pPr>
      <w:r>
        <w:t>СРОК ГОДНОСТИ</w:t>
      </w:r>
      <w:r>
        <w:rPr>
          <w:b w:val="0"/>
        </w:rPr>
        <w:t xml:space="preserve">  </w:t>
      </w:r>
    </w:p>
    <w:tbl>
      <w:tblPr>
        <w:tblStyle w:val="TableGrid"/>
        <w:tblpPr w:vertAnchor="text" w:horzAnchor="margin" w:tblpY="2649"/>
        <w:tblOverlap w:val="never"/>
        <w:tblW w:w="115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97"/>
      </w:tblGrid>
      <w:tr w:rsidR="007F7A1A">
        <w:trPr>
          <w:trHeight w:val="265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7F7A1A" w:rsidRDefault="000D1BCB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363969" cy="975360"/>
                  <wp:effectExtent l="0" t="0" r="0" b="0"/>
                  <wp:docPr id="4419" name="Picture 4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9" name="Picture 44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3969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A1A" w:rsidRDefault="000D1BCB">
      <w:pPr>
        <w:spacing w:line="329" w:lineRule="auto"/>
        <w:ind w:left="10" w:right="43"/>
      </w:pPr>
      <w:r>
        <w:t xml:space="preserve">Минимальный срок годности – 12 месяцев при хранении в соответствии с инструкцией производителя в закрытой оригинальной упаковке. </w:t>
      </w:r>
    </w:p>
    <w:p w:rsidR="007F7A1A" w:rsidRDefault="000D1BCB">
      <w:pPr>
        <w:spacing w:after="2060" w:line="259" w:lineRule="auto"/>
        <w:ind w:left="0" w:right="0" w:firstLine="0"/>
        <w:jc w:val="left"/>
      </w:pPr>
      <w:r>
        <w:t xml:space="preserve"> </w:t>
      </w:r>
    </w:p>
    <w:p w:rsidR="007F7A1A" w:rsidRDefault="000D1BCB">
      <w:pPr>
        <w:pStyle w:val="1"/>
        <w:ind w:left="11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372008</wp:posOffset>
                </wp:positionV>
                <wp:extent cx="6083935" cy="12700"/>
                <wp:effectExtent l="0" t="0" r="0" b="0"/>
                <wp:wrapNone/>
                <wp:docPr id="3222" name="Group 3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12700"/>
                          <a:chOff x="0" y="0"/>
                          <a:chExt cx="6083935" cy="12700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6083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35">
                                <a:moveTo>
                                  <a:pt x="0" y="0"/>
                                </a:moveTo>
                                <a:lnTo>
                                  <a:pt x="608393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2" style="width:479.05pt;height:1pt;position:absolute;z-index:20;mso-position-horizontal-relative:text;mso-position-horizontal:absolute;margin-left:57.5pt;mso-position-vertical-relative:text;margin-top:29.2919pt;" coordsize="60839,127">
                <v:shape id="Shape 278" style="position:absolute;width:60839;height:0;left:0;top:0;" coordsize="6083935,0" path="m0,0l6083935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425196</wp:posOffset>
                </wp:positionH>
                <wp:positionV relativeFrom="paragraph">
                  <wp:posOffset>-1141450</wp:posOffset>
                </wp:positionV>
                <wp:extent cx="2295144" cy="1206715"/>
                <wp:effectExtent l="0" t="0" r="0" b="0"/>
                <wp:wrapSquare wrapText="bothSides"/>
                <wp:docPr id="3221" name="Group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144" cy="1206715"/>
                          <a:chOff x="0" y="0"/>
                          <a:chExt cx="2295144" cy="1206715"/>
                        </a:xfrm>
                      </wpg:grpSpPr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144" cy="1152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Rectangle 268"/>
                        <wps:cNvSpPr/>
                        <wps:spPr>
                          <a:xfrm>
                            <a:off x="294132" y="817940"/>
                            <a:ext cx="103055" cy="51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7A1A" w:rsidRDefault="000D1B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1" style="width:180.72pt;height:95.0169pt;position:absolute;mso-position-horizontal-relative:text;mso-position-horizontal:absolute;margin-left:33.48pt;mso-position-vertical-relative:text;margin-top:-89.878pt;" coordsize="22951,12067">
                <v:shape id="Picture 260" style="position:absolute;width:22951;height:11521;left:0;top:0;" filled="f">
                  <v:imagedata r:id="rId6"/>
                </v:shape>
                <v:rect id="Rectangle 268" style="position:absolute;width:1030;height:5170;left:2941;top:8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t>MasterGlenium</w:t>
      </w:r>
      <w:proofErr w:type="spellEnd"/>
      <w:r>
        <w:rPr>
          <w:vertAlign w:val="superscript"/>
        </w:rPr>
        <w:t>®</w:t>
      </w:r>
      <w:r>
        <w:t xml:space="preserve"> 116 </w:t>
      </w:r>
      <w:r>
        <w:rPr>
          <w:sz w:val="20"/>
        </w:rPr>
        <w:t xml:space="preserve"> </w:t>
      </w:r>
    </w:p>
    <w:p w:rsidR="007F7A1A" w:rsidRDefault="000D1BCB">
      <w:pPr>
        <w:spacing w:after="60" w:line="259" w:lineRule="auto"/>
        <w:ind w:left="1133" w:right="0" w:firstLine="0"/>
        <w:jc w:val="left"/>
      </w:pPr>
      <w:r>
        <w:rPr>
          <w:sz w:val="16"/>
        </w:rPr>
        <w:t xml:space="preserve"> </w:t>
      </w:r>
    </w:p>
    <w:p w:rsidR="007F7A1A" w:rsidRDefault="000D1BCB">
      <w:pPr>
        <w:spacing w:after="16" w:line="259" w:lineRule="auto"/>
        <w:ind w:left="1128" w:right="0"/>
        <w:jc w:val="left"/>
      </w:pPr>
      <w:r>
        <w:rPr>
          <w:sz w:val="24"/>
        </w:rPr>
        <w:t>(</w:t>
      </w:r>
      <w:proofErr w:type="spellStart"/>
      <w:r>
        <w:rPr>
          <w:sz w:val="24"/>
        </w:rPr>
        <w:t>Glenium</w:t>
      </w:r>
      <w:proofErr w:type="spellEnd"/>
      <w:r>
        <w:rPr>
          <w:sz w:val="24"/>
        </w:rPr>
        <w:t xml:space="preserve"> 116) </w:t>
      </w:r>
    </w:p>
    <w:p w:rsidR="007F7A1A" w:rsidRDefault="000D1BCB">
      <w:pPr>
        <w:spacing w:after="0" w:line="259" w:lineRule="auto"/>
        <w:ind w:left="1133" w:right="0" w:firstLine="0"/>
        <w:jc w:val="left"/>
      </w:pPr>
      <w:r>
        <w:rPr>
          <w:sz w:val="28"/>
        </w:rPr>
        <w:t xml:space="preserve"> </w:t>
      </w:r>
    </w:p>
    <w:p w:rsidR="007F7A1A" w:rsidRDefault="000D1BCB">
      <w:pPr>
        <w:pStyle w:val="2"/>
        <w:ind w:left="1128"/>
      </w:pPr>
      <w:r>
        <w:t>УСЛОВИЯ ХРАНЕНИЯ</w:t>
      </w:r>
      <w:r>
        <w:rPr>
          <w:b w:val="0"/>
        </w:rPr>
        <w:t xml:space="preserve"> </w:t>
      </w:r>
    </w:p>
    <w:p w:rsidR="007F7A1A" w:rsidRDefault="000D1BCB">
      <w:pPr>
        <w:ind w:left="1128" w:right="43"/>
      </w:pPr>
      <w:r>
        <w:t>Хранить при температуре не ниже +5</w:t>
      </w:r>
      <w:r>
        <w:rPr>
          <w:vertAlign w:val="superscript"/>
        </w:rPr>
        <w:t>о</w:t>
      </w:r>
      <w:r>
        <w:t xml:space="preserve">С, при замораживании материала необходимо разморозить добавку при </w:t>
      </w:r>
      <w:r>
        <w:lastRenderedPageBreak/>
        <w:t>температуре +20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и тщательно перемешать до полного восстановления первоначальной консистенции. Избегать попадания прямых солнечных лучей, защищать от выс</w:t>
      </w:r>
      <w:r>
        <w:t xml:space="preserve">оких температур. Несоответствие рекомендуемым условиям хранения может привести к изменению свойств продукта. </w:t>
      </w:r>
    </w:p>
    <w:p w:rsidR="007F7A1A" w:rsidRDefault="000D1BCB">
      <w:pPr>
        <w:pStyle w:val="2"/>
        <w:ind w:left="1128"/>
      </w:pPr>
      <w:r>
        <w:t xml:space="preserve">МЕРЫ ПРЕДОСТОРОЖНОСТИ И ТРАНСПОРТИРОВКА </w:t>
      </w:r>
      <w:r>
        <w:rPr>
          <w:b w:val="0"/>
        </w:rPr>
        <w:t xml:space="preserve"> </w:t>
      </w:r>
    </w:p>
    <w:p w:rsidR="007F7A1A" w:rsidRDefault="000D1BCB">
      <w:pPr>
        <w:ind w:left="1128" w:right="43"/>
      </w:pPr>
      <w:r>
        <w:t>Специальных требований по применению продукта не предусмотрено. Рекомендуется использовать защитные перч</w:t>
      </w:r>
      <w:r>
        <w:t xml:space="preserve">атки. При попадании на кожу промыть водой. Не допускать попадания на слизистые оболочки, при попадании промыть обильным количеством воды. </w:t>
      </w:r>
      <w:proofErr w:type="spellStart"/>
      <w:r>
        <w:t>MasterGlenium</w:t>
      </w:r>
      <w:proofErr w:type="spellEnd"/>
      <w:r>
        <w:t xml:space="preserve"> 116 – невоспламеняющийся и нетоксичный продукт, поэтому </w:t>
      </w:r>
      <w:r>
        <w:tab/>
        <w:t xml:space="preserve">не </w:t>
      </w:r>
      <w:r>
        <w:tab/>
        <w:t xml:space="preserve">существует </w:t>
      </w:r>
      <w:r>
        <w:tab/>
        <w:t>специальных рекомендаций для тр</w:t>
      </w:r>
      <w:r>
        <w:t xml:space="preserve">анспортировки. </w:t>
      </w:r>
    </w:p>
    <w:p w:rsidR="007F7A1A" w:rsidRDefault="000D1BCB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F7A1A" w:rsidRDefault="000D1BCB">
      <w:pPr>
        <w:spacing w:after="5" w:line="259" w:lineRule="auto"/>
        <w:ind w:left="10" w:right="0"/>
        <w:jc w:val="left"/>
      </w:pPr>
      <w:r>
        <w:rPr>
          <w:b/>
        </w:rPr>
        <w:t>Продукция сертифицирована</w:t>
      </w:r>
      <w:r>
        <w:t xml:space="preserve">. </w:t>
      </w:r>
    </w:p>
    <w:p w:rsidR="007F7A1A" w:rsidRDefault="000D1BCB">
      <w:pPr>
        <w:spacing w:after="4" w:line="295" w:lineRule="auto"/>
        <w:ind w:left="0" w:right="0" w:firstLine="0"/>
        <w:jc w:val="left"/>
      </w:pPr>
      <w:r>
        <w:t xml:space="preserve">Условия </w:t>
      </w:r>
      <w:r>
        <w:tab/>
        <w:t xml:space="preserve">производства </w:t>
      </w:r>
      <w:r>
        <w:tab/>
        <w:t xml:space="preserve">и </w:t>
      </w:r>
      <w:r>
        <w:tab/>
        <w:t xml:space="preserve">особенности применения нашей продукции в каждом случае различны. В технических описаниях мы можем предоставить </w:t>
      </w:r>
      <w:r>
        <w:tab/>
        <w:t xml:space="preserve">лишь </w:t>
      </w:r>
      <w:r>
        <w:tab/>
        <w:t xml:space="preserve">общие </w:t>
      </w:r>
      <w:r>
        <w:tab/>
        <w:t xml:space="preserve">указания </w:t>
      </w:r>
      <w:r>
        <w:tab/>
        <w:t xml:space="preserve">по применению. </w:t>
      </w:r>
      <w:r>
        <w:tab/>
        <w:t xml:space="preserve">Эти </w:t>
      </w:r>
      <w:r>
        <w:tab/>
        <w:t xml:space="preserve">указания </w:t>
      </w:r>
      <w:r>
        <w:tab/>
        <w:t xml:space="preserve">соответствуют нашему </w:t>
      </w:r>
      <w:r>
        <w:tab/>
        <w:t xml:space="preserve">сегодняшнему </w:t>
      </w:r>
      <w:r>
        <w:tab/>
        <w:t xml:space="preserve">уровню осведомленности </w:t>
      </w:r>
      <w:r>
        <w:tab/>
        <w:t xml:space="preserve">и </w:t>
      </w:r>
      <w:r>
        <w:tab/>
        <w:t>о</w:t>
      </w:r>
      <w:r>
        <w:t xml:space="preserve">пыту. </w:t>
      </w:r>
      <w:r>
        <w:tab/>
        <w:t xml:space="preserve">Потребитель самостоятельно </w:t>
      </w:r>
      <w:r>
        <w:tab/>
        <w:t xml:space="preserve">несет </w:t>
      </w:r>
      <w:r>
        <w:tab/>
        <w:t xml:space="preserve">ответственность </w:t>
      </w:r>
      <w:r>
        <w:tab/>
        <w:t xml:space="preserve">за неправильное применение материала. Для получения </w:t>
      </w:r>
      <w:r>
        <w:tab/>
        <w:t xml:space="preserve">дополнительной </w:t>
      </w:r>
      <w:r>
        <w:tab/>
        <w:t xml:space="preserve">информации следует обращаться за рекомендациями к специалистам ООО «БАСФ Строительные системы» </w:t>
      </w:r>
    </w:p>
    <w:p w:rsidR="007F7A1A" w:rsidRDefault="000D1B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7A1A" w:rsidRDefault="000D1BC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7F7A1A" w:rsidRDefault="007F7A1A">
      <w:pPr>
        <w:sectPr w:rsidR="007F7A1A">
          <w:type w:val="continuous"/>
          <w:pgSz w:w="11906" w:h="16841"/>
          <w:pgMar w:top="0" w:right="1132" w:bottom="0" w:left="0" w:header="720" w:footer="720" w:gutter="0"/>
          <w:cols w:num="2" w:space="738"/>
        </w:sectPr>
      </w:pPr>
    </w:p>
    <w:p w:rsidR="007F7A1A" w:rsidRDefault="000D1BCB">
      <w:pPr>
        <w:spacing w:after="158" w:line="328" w:lineRule="auto"/>
        <w:ind w:left="1128" w:right="0"/>
        <w:jc w:val="left"/>
      </w:pPr>
      <w:r>
        <w:rPr>
          <w:sz w:val="16"/>
        </w:rPr>
        <w:lastRenderedPageBreak/>
        <w:t>Представ</w:t>
      </w:r>
      <w:r>
        <w:rPr>
          <w:sz w:val="16"/>
        </w:rPr>
        <w:t>ленная информация основана на нашем опыте и знаниях на сегодняшний день. Из-за наличия многочисленных факторов, влияющих на результат, информация не подразумевает юридической ответственности. За дополнительной информацией обращайтесь к местному представите</w:t>
      </w:r>
      <w:r>
        <w:rPr>
          <w:sz w:val="16"/>
        </w:rPr>
        <w:t>лю.</w:t>
      </w:r>
      <w:r>
        <w:rPr>
          <w:b/>
          <w:sz w:val="16"/>
        </w:rPr>
        <w:t xml:space="preserve"> </w:t>
      </w:r>
    </w:p>
    <w:p w:rsidR="007F7A1A" w:rsidRDefault="007F7A1A">
      <w:pPr>
        <w:spacing w:after="21" w:line="259" w:lineRule="auto"/>
        <w:ind w:left="1133" w:right="0" w:firstLine="0"/>
        <w:jc w:val="left"/>
      </w:pPr>
    </w:p>
    <w:p w:rsidR="007F7A1A" w:rsidRDefault="000D1BCB">
      <w:pPr>
        <w:spacing w:after="2220" w:line="259" w:lineRule="auto"/>
        <w:ind w:left="1133" w:right="0" w:firstLine="0"/>
        <w:jc w:val="left"/>
      </w:pPr>
      <w:r>
        <w:rPr>
          <w:b/>
          <w:sz w:val="16"/>
        </w:rPr>
        <w:t xml:space="preserve"> </w:t>
      </w:r>
    </w:p>
    <w:p w:rsidR="007F7A1A" w:rsidRDefault="000D1B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7A1A" w:rsidRDefault="000D1BC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bookmarkStart w:id="0" w:name="_GoBack"/>
      <w:bookmarkEnd w:id="0"/>
    </w:p>
    <w:sectPr w:rsidR="007F7A1A">
      <w:type w:val="continuous"/>
      <w:pgSz w:w="11906" w:h="16841"/>
      <w:pgMar w:top="0" w:right="1650" w:bottom="119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7C4"/>
    <w:multiLevelType w:val="hybridMultilevel"/>
    <w:tmpl w:val="28B0694C"/>
    <w:lvl w:ilvl="0" w:tplc="03C04664">
      <w:start w:val="1"/>
      <w:numFmt w:val="bullet"/>
      <w:lvlText w:val="•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7EBD1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472C8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89304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1C073C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A1864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6612C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B4A4A4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4243E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1A"/>
    <w:rsid w:val="000D1BCB"/>
    <w:rsid w:val="007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69AD8-A056-4B59-A67A-B063CBAB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70" w:lineRule="auto"/>
      <w:ind w:left="1143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43" w:hanging="10"/>
      <w:outlineLvl w:val="0"/>
    </w:pPr>
    <w:rPr>
      <w:rFonts w:ascii="Arial" w:eastAsia="Arial" w:hAnsi="Arial" w:cs="Arial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114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MEYCO® SA170</dc:title>
  <dc:subject/>
  <dc:creator>Diana</dc:creator>
  <cp:keywords/>
  <cp:lastModifiedBy>Пользователь</cp:lastModifiedBy>
  <cp:revision>2</cp:revision>
  <dcterms:created xsi:type="dcterms:W3CDTF">2019-04-16T13:27:00Z</dcterms:created>
  <dcterms:modified xsi:type="dcterms:W3CDTF">2019-04-16T13:27:00Z</dcterms:modified>
</cp:coreProperties>
</file>